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F31DB" w14:textId="2E596C8A" w:rsidR="00187E75" w:rsidRPr="002807C7" w:rsidRDefault="00783D74" w:rsidP="002F207C">
      <w:pPr>
        <w:pStyle w:val="a3"/>
        <w:jc w:val="both"/>
        <w:rPr>
          <w:rFonts w:ascii="Times New Roman" w:hAnsi="Times New Roman"/>
          <w:b/>
          <w:lang w:val="en-GB"/>
        </w:rPr>
      </w:pPr>
      <w:bookmarkStart w:id="0" w:name="_GoBack"/>
      <w:bookmarkEnd w:id="0"/>
      <w:r w:rsidRPr="002807C7">
        <w:rPr>
          <w:rFonts w:ascii="Times New Roman" w:hAnsi="Times New Roman"/>
          <w:b/>
          <w:lang w:val="en-GB"/>
        </w:rPr>
        <w:t>Ekaterina I. Alexeeva</w:t>
      </w:r>
      <w:r w:rsidRPr="002807C7">
        <w:rPr>
          <w:rFonts w:ascii="Times New Roman" w:hAnsi="Times New Roman"/>
          <w:b/>
          <w:vertAlign w:val="superscript"/>
          <w:lang w:val="en-GB"/>
        </w:rPr>
        <w:t>1, 2</w:t>
      </w:r>
      <w:r w:rsidRPr="002807C7">
        <w:rPr>
          <w:rFonts w:ascii="Times New Roman" w:hAnsi="Times New Roman"/>
          <w:b/>
          <w:lang w:val="en-GB"/>
        </w:rPr>
        <w:t>, Tatyana M. Dvoryakovskaya</w:t>
      </w:r>
      <w:r w:rsidRPr="002807C7">
        <w:rPr>
          <w:rFonts w:ascii="Times New Roman" w:hAnsi="Times New Roman"/>
          <w:b/>
          <w:vertAlign w:val="superscript"/>
          <w:lang w:val="en-GB"/>
        </w:rPr>
        <w:t>1, 2</w:t>
      </w:r>
      <w:r w:rsidRPr="002807C7">
        <w:rPr>
          <w:rFonts w:ascii="Times New Roman" w:hAnsi="Times New Roman"/>
          <w:b/>
          <w:lang w:val="en-GB"/>
        </w:rPr>
        <w:t>, Kseniya B. Isaeva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  <w:r w:rsidRPr="002807C7">
        <w:rPr>
          <w:rFonts w:ascii="Times New Roman" w:hAnsi="Times New Roman"/>
          <w:b/>
          <w:lang w:val="en-GB"/>
        </w:rPr>
        <w:t>, Tatyana V. Sleptsova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  <w:r w:rsidRPr="002807C7">
        <w:rPr>
          <w:rFonts w:ascii="Times New Roman" w:hAnsi="Times New Roman"/>
          <w:b/>
          <w:lang w:val="en-GB"/>
        </w:rPr>
        <w:t>, Rina V. Denisova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  <w:r w:rsidRPr="002807C7">
        <w:rPr>
          <w:rFonts w:ascii="Times New Roman" w:hAnsi="Times New Roman"/>
          <w:b/>
          <w:lang w:val="en-GB"/>
        </w:rPr>
        <w:t>, Margarita A. Soloshenko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  <w:r w:rsidRPr="002807C7">
        <w:rPr>
          <w:rFonts w:ascii="Times New Roman" w:hAnsi="Times New Roman"/>
          <w:b/>
          <w:lang w:val="en-GB"/>
        </w:rPr>
        <w:t>, Olga L. Lomakina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  <w:r w:rsidRPr="002807C7">
        <w:rPr>
          <w:rFonts w:ascii="Times New Roman" w:hAnsi="Times New Roman"/>
          <w:b/>
          <w:lang w:val="en-GB"/>
        </w:rPr>
        <w:t>, Anna N. Fetisova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  <w:r w:rsidRPr="002807C7">
        <w:rPr>
          <w:rFonts w:ascii="Times New Roman" w:hAnsi="Times New Roman"/>
          <w:b/>
          <w:lang w:val="en-GB"/>
        </w:rPr>
        <w:t xml:space="preserve">, </w:t>
      </w:r>
      <w:proofErr w:type="spellStart"/>
      <w:r w:rsidRPr="002807C7">
        <w:rPr>
          <w:rFonts w:ascii="Times New Roman" w:hAnsi="Times New Roman"/>
          <w:b/>
          <w:lang w:val="en-GB"/>
        </w:rPr>
        <w:t>Dariya</w:t>
      </w:r>
      <w:proofErr w:type="spellEnd"/>
      <w:r w:rsidRPr="002807C7">
        <w:rPr>
          <w:rFonts w:ascii="Times New Roman" w:hAnsi="Times New Roman"/>
          <w:b/>
          <w:lang w:val="en-GB"/>
        </w:rPr>
        <w:t xml:space="preserve"> D. Vankova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  <w:r w:rsidRPr="002807C7">
        <w:rPr>
          <w:rFonts w:ascii="Times New Roman" w:hAnsi="Times New Roman"/>
          <w:b/>
          <w:lang w:val="en-GB"/>
        </w:rPr>
        <w:t>, Alina A. Alshevskaya</w:t>
      </w:r>
      <w:r w:rsidRPr="002807C7">
        <w:rPr>
          <w:rFonts w:ascii="Times New Roman" w:hAnsi="Times New Roman"/>
          <w:b/>
          <w:vertAlign w:val="superscript"/>
          <w:lang w:val="en-GB"/>
        </w:rPr>
        <w:t>3</w:t>
      </w:r>
      <w:r w:rsidRPr="002807C7">
        <w:rPr>
          <w:rFonts w:ascii="Times New Roman" w:hAnsi="Times New Roman"/>
          <w:b/>
          <w:lang w:val="en-GB"/>
        </w:rPr>
        <w:t>, Andrei V. Moskalev</w:t>
      </w:r>
      <w:r w:rsidRPr="002807C7">
        <w:rPr>
          <w:rFonts w:ascii="Times New Roman" w:hAnsi="Times New Roman"/>
          <w:b/>
          <w:vertAlign w:val="superscript"/>
          <w:lang w:val="en-GB"/>
        </w:rPr>
        <w:t>3</w:t>
      </w:r>
      <w:r w:rsidRPr="002807C7">
        <w:rPr>
          <w:rFonts w:ascii="Times New Roman" w:hAnsi="Times New Roman"/>
          <w:b/>
          <w:lang w:val="en-GB"/>
        </w:rPr>
        <w:t>, Anna V. Mamutova</w:t>
      </w:r>
      <w:r w:rsidRPr="002807C7">
        <w:rPr>
          <w:rFonts w:ascii="Times New Roman" w:hAnsi="Times New Roman"/>
          <w:b/>
          <w:vertAlign w:val="superscript"/>
          <w:lang w:val="en-GB"/>
        </w:rPr>
        <w:t>1</w:t>
      </w:r>
    </w:p>
    <w:p w14:paraId="57185FF8" w14:textId="77777777" w:rsidR="00187E75" w:rsidRPr="002807C7" w:rsidRDefault="00187E75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D269CE3" w14:textId="2323CDF9" w:rsidR="00187E75" w:rsidRPr="002807C7" w:rsidRDefault="00187E75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  <w:r w:rsidRPr="002807C7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2807C7">
        <w:rPr>
          <w:rFonts w:ascii="Times New Roman" w:hAnsi="Times New Roman"/>
          <w:sz w:val="24"/>
          <w:szCs w:val="24"/>
          <w:lang w:val="en-GB"/>
        </w:rPr>
        <w:t> </w:t>
      </w:r>
      <w:r w:rsidR="00783D74" w:rsidRPr="002807C7">
        <w:rPr>
          <w:rFonts w:ascii="Times New Roman" w:hAnsi="Times New Roman"/>
          <w:sz w:val="24"/>
          <w:szCs w:val="24"/>
          <w:lang w:val="en-GB"/>
        </w:rPr>
        <w:t xml:space="preserve">National Medical Research </w:t>
      </w:r>
      <w:proofErr w:type="spellStart"/>
      <w:r w:rsidR="00783D74" w:rsidRPr="002807C7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="00783D74" w:rsidRPr="002807C7">
        <w:rPr>
          <w:rFonts w:ascii="Times New Roman" w:hAnsi="Times New Roman"/>
          <w:sz w:val="24"/>
          <w:szCs w:val="24"/>
          <w:lang w:val="en-GB"/>
        </w:rPr>
        <w:t xml:space="preserve"> of Children’s Health, Moscow, Russian Federation</w:t>
      </w:r>
    </w:p>
    <w:p w14:paraId="2D5D8A9B" w14:textId="39B9827C" w:rsidR="00187E75" w:rsidRPr="002807C7" w:rsidRDefault="00187E75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  <w:r w:rsidRPr="002807C7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2807C7">
        <w:rPr>
          <w:rFonts w:ascii="Times New Roman" w:hAnsi="Times New Roman"/>
          <w:sz w:val="24"/>
          <w:szCs w:val="24"/>
          <w:lang w:val="en-GB"/>
        </w:rPr>
        <w:t> </w:t>
      </w:r>
      <w:proofErr w:type="spellStart"/>
      <w:r w:rsidR="00783D74" w:rsidRPr="002807C7">
        <w:rPr>
          <w:rFonts w:ascii="Times New Roman" w:hAnsi="Times New Roman"/>
          <w:sz w:val="24"/>
          <w:szCs w:val="24"/>
          <w:lang w:val="en-GB"/>
        </w:rPr>
        <w:t>Sechenov</w:t>
      </w:r>
      <w:proofErr w:type="spellEnd"/>
      <w:r w:rsidR="00783D74" w:rsidRPr="002807C7">
        <w:rPr>
          <w:rFonts w:ascii="Times New Roman" w:hAnsi="Times New Roman"/>
          <w:sz w:val="24"/>
          <w:szCs w:val="24"/>
          <w:lang w:val="en-GB"/>
        </w:rPr>
        <w:t xml:space="preserve"> First Moscow State Medical University</w:t>
      </w:r>
      <w:r w:rsidR="00925951" w:rsidRPr="00925951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925951">
        <w:rPr>
          <w:rFonts w:ascii="Times New Roman" w:hAnsi="Times New Roman"/>
          <w:sz w:val="24"/>
          <w:szCs w:val="24"/>
          <w:lang w:val="en-US"/>
        </w:rPr>
        <w:t>Sechenov</w:t>
      </w:r>
      <w:proofErr w:type="spellEnd"/>
      <w:r w:rsidR="00925951">
        <w:rPr>
          <w:rFonts w:ascii="Times New Roman" w:hAnsi="Times New Roman"/>
          <w:sz w:val="24"/>
          <w:szCs w:val="24"/>
          <w:lang w:val="en-US"/>
        </w:rPr>
        <w:t xml:space="preserve"> University)</w:t>
      </w:r>
      <w:r w:rsidR="00783D74" w:rsidRPr="002807C7">
        <w:rPr>
          <w:rFonts w:ascii="Times New Roman" w:hAnsi="Times New Roman"/>
          <w:sz w:val="24"/>
          <w:szCs w:val="24"/>
          <w:lang w:val="en-GB"/>
        </w:rPr>
        <w:t>, Moscow, Russian Federation</w:t>
      </w:r>
    </w:p>
    <w:p w14:paraId="789B237D" w14:textId="513D844C" w:rsidR="00187E75" w:rsidRPr="002807C7" w:rsidRDefault="00187E75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  <w:r w:rsidRPr="002807C7">
        <w:rPr>
          <w:rFonts w:ascii="Times New Roman" w:hAnsi="Times New Roman"/>
          <w:sz w:val="24"/>
          <w:szCs w:val="24"/>
          <w:vertAlign w:val="superscript"/>
          <w:lang w:val="en-GB"/>
        </w:rPr>
        <w:t>3</w:t>
      </w:r>
      <w:r w:rsidRPr="002807C7">
        <w:rPr>
          <w:rFonts w:ascii="Times New Roman" w:hAnsi="Times New Roman"/>
          <w:sz w:val="24"/>
          <w:szCs w:val="24"/>
          <w:lang w:val="en-GB"/>
        </w:rPr>
        <w:t> </w:t>
      </w:r>
      <w:r w:rsidR="00783D74" w:rsidRPr="002807C7">
        <w:rPr>
          <w:rFonts w:ascii="Times New Roman" w:hAnsi="Times New Roman"/>
          <w:sz w:val="24"/>
          <w:szCs w:val="24"/>
          <w:lang w:val="en-GB"/>
        </w:rPr>
        <w:t xml:space="preserve">Research </w:t>
      </w:r>
      <w:proofErr w:type="spellStart"/>
      <w:r w:rsidR="00783D74" w:rsidRPr="002807C7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="00783D74" w:rsidRPr="002807C7">
        <w:rPr>
          <w:rFonts w:ascii="Times New Roman" w:hAnsi="Times New Roman"/>
          <w:sz w:val="24"/>
          <w:szCs w:val="24"/>
          <w:lang w:val="en-GB"/>
        </w:rPr>
        <w:t xml:space="preserve"> for Biostatistics and Clinical Research, Novosibirsk, Russian Federation</w:t>
      </w:r>
    </w:p>
    <w:p w14:paraId="72AD61AD" w14:textId="77777777" w:rsidR="00187E75" w:rsidRPr="002807C7" w:rsidRDefault="00187E75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0892004" w14:textId="7A2F086E" w:rsidR="00187E75" w:rsidRPr="002807C7" w:rsidRDefault="00451E78" w:rsidP="002F207C">
      <w:pPr>
        <w:pStyle w:val="a3"/>
        <w:jc w:val="both"/>
        <w:rPr>
          <w:rFonts w:ascii="Times New Roman" w:hAnsi="Times New Roman"/>
          <w:b/>
          <w:sz w:val="32"/>
          <w:szCs w:val="24"/>
          <w:lang w:val="en-GB"/>
        </w:rPr>
      </w:pPr>
      <w:r w:rsidRPr="002807C7">
        <w:rPr>
          <w:rFonts w:ascii="Times New Roman" w:hAnsi="Times New Roman"/>
          <w:b/>
          <w:sz w:val="32"/>
          <w:szCs w:val="24"/>
          <w:lang w:val="en-GB"/>
        </w:rPr>
        <w:t>Early Prognostic Factors for Remission Achievement at Etanercept Therapy in Patients wit</w:t>
      </w:r>
      <w:r w:rsidR="005B6880" w:rsidRPr="002807C7">
        <w:rPr>
          <w:rFonts w:ascii="Times New Roman" w:hAnsi="Times New Roman"/>
          <w:b/>
          <w:sz w:val="32"/>
          <w:szCs w:val="24"/>
          <w:lang w:val="en-GB"/>
        </w:rPr>
        <w:t xml:space="preserve">h Juvenile </w:t>
      </w:r>
      <w:proofErr w:type="spellStart"/>
      <w:r w:rsidR="005B6880" w:rsidRPr="002807C7">
        <w:rPr>
          <w:rFonts w:ascii="Times New Roman" w:hAnsi="Times New Roman"/>
          <w:b/>
          <w:sz w:val="32"/>
          <w:szCs w:val="24"/>
          <w:lang w:val="en-GB"/>
        </w:rPr>
        <w:t>Idiopatic</w:t>
      </w:r>
      <w:proofErr w:type="spellEnd"/>
      <w:r w:rsidR="005B6880" w:rsidRPr="002807C7">
        <w:rPr>
          <w:rFonts w:ascii="Times New Roman" w:hAnsi="Times New Roman"/>
          <w:b/>
          <w:sz w:val="32"/>
          <w:szCs w:val="24"/>
          <w:lang w:val="en-GB"/>
        </w:rPr>
        <w:t xml:space="preserve"> Arthritis W</w:t>
      </w:r>
      <w:r w:rsidRPr="002807C7">
        <w:rPr>
          <w:rFonts w:ascii="Times New Roman" w:hAnsi="Times New Roman"/>
          <w:b/>
          <w:sz w:val="32"/>
          <w:szCs w:val="24"/>
          <w:lang w:val="en-GB"/>
        </w:rPr>
        <w:t>ithout Systematic Manifestations: Prospective Cohort Study</w:t>
      </w:r>
    </w:p>
    <w:p w14:paraId="086D86D4" w14:textId="77777777" w:rsidR="00B57CC5" w:rsidRPr="002807C7" w:rsidRDefault="00B57CC5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B5C18F0" w14:textId="77777777" w:rsidR="00925951" w:rsidRPr="00925951" w:rsidRDefault="00925951" w:rsidP="009259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 w:rsidRPr="00925951">
        <w:rPr>
          <w:rFonts w:ascii="Times New Roman" w:hAnsi="Times New Roman" w:cs="Times New Roman"/>
          <w:b/>
          <w:lang w:val="en-GB"/>
        </w:rPr>
        <w:t>Corresponding author:</w:t>
      </w:r>
    </w:p>
    <w:p w14:paraId="0460C088" w14:textId="122D36BB" w:rsidR="00451E78" w:rsidRPr="002807C7" w:rsidRDefault="00925951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  <w:r w:rsidRPr="002807C7">
        <w:rPr>
          <w:rFonts w:ascii="Times New Roman" w:hAnsi="Times New Roman"/>
          <w:i/>
          <w:sz w:val="24"/>
          <w:szCs w:val="24"/>
          <w:lang w:val="en-GB"/>
        </w:rPr>
        <w:t>Ekaterina I</w:t>
      </w:r>
      <w:r w:rsidRPr="0092595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="0096413C" w:rsidRPr="002807C7">
        <w:rPr>
          <w:rFonts w:ascii="Times New Roman" w:hAnsi="Times New Roman"/>
          <w:i/>
          <w:sz w:val="24"/>
          <w:szCs w:val="24"/>
          <w:lang w:val="en-GB"/>
        </w:rPr>
        <w:t>Alexeeva</w:t>
      </w:r>
      <w:proofErr w:type="spellEnd"/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2F207C" w:rsidRPr="002807C7">
        <w:rPr>
          <w:rFonts w:ascii="Times New Roman" w:hAnsi="Times New Roman"/>
          <w:sz w:val="24"/>
          <w:szCs w:val="24"/>
          <w:lang w:val="en-GB"/>
        </w:rPr>
        <w:t>MD, PhD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A2313">
        <w:rPr>
          <w:rFonts w:ascii="Times New Roman" w:hAnsi="Times New Roman"/>
          <w:sz w:val="24"/>
          <w:szCs w:val="24"/>
          <w:lang w:val="en-GB"/>
        </w:rPr>
        <w:t>P</w:t>
      </w:r>
      <w:r w:rsidR="00330E25" w:rsidRPr="002807C7">
        <w:rPr>
          <w:rFonts w:ascii="Times New Roman" w:hAnsi="Times New Roman"/>
          <w:sz w:val="24"/>
          <w:szCs w:val="24"/>
          <w:lang w:val="en-GB"/>
        </w:rPr>
        <w:t>rofessor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A2313">
        <w:rPr>
          <w:rFonts w:ascii="Times New Roman" w:hAnsi="Times New Roman"/>
          <w:sz w:val="24"/>
          <w:szCs w:val="24"/>
          <w:lang w:val="en-GB"/>
        </w:rPr>
        <w:t>RAS Cor. M</w:t>
      </w:r>
      <w:r w:rsidR="002F207C" w:rsidRPr="002807C7">
        <w:rPr>
          <w:rFonts w:ascii="Times New Roman" w:hAnsi="Times New Roman"/>
          <w:sz w:val="24"/>
          <w:szCs w:val="24"/>
          <w:lang w:val="en-GB"/>
        </w:rPr>
        <w:t>ember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A2313">
        <w:rPr>
          <w:rFonts w:ascii="Times New Roman" w:hAnsi="Times New Roman"/>
          <w:sz w:val="24"/>
          <w:szCs w:val="24"/>
          <w:lang w:val="en-GB"/>
        </w:rPr>
        <w:t>H</w:t>
      </w:r>
      <w:r w:rsidR="00330E25" w:rsidRPr="002807C7">
        <w:rPr>
          <w:rFonts w:ascii="Times New Roman" w:hAnsi="Times New Roman"/>
          <w:sz w:val="24"/>
          <w:szCs w:val="24"/>
          <w:lang w:val="en-GB"/>
        </w:rPr>
        <w:t>ead of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D02D2">
        <w:rPr>
          <w:rFonts w:ascii="Times New Roman" w:hAnsi="Times New Roman"/>
          <w:sz w:val="24"/>
          <w:szCs w:val="24"/>
          <w:lang w:val="en-GB"/>
        </w:rPr>
        <w:t>R</w:t>
      </w:r>
      <w:r w:rsidR="00330E25" w:rsidRPr="002807C7">
        <w:rPr>
          <w:rFonts w:ascii="Times New Roman" w:hAnsi="Times New Roman"/>
          <w:sz w:val="24"/>
          <w:szCs w:val="24"/>
          <w:lang w:val="en-GB"/>
        </w:rPr>
        <w:t xml:space="preserve">heumatology </w:t>
      </w:r>
      <w:r w:rsidR="00AA2313">
        <w:rPr>
          <w:rFonts w:ascii="Times New Roman" w:hAnsi="Times New Roman"/>
          <w:sz w:val="24"/>
          <w:szCs w:val="24"/>
          <w:lang w:val="en-GB"/>
        </w:rPr>
        <w:t>U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>nit</w:t>
      </w:r>
      <w:r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2F103E" w:rsidRPr="002807C7">
        <w:rPr>
          <w:rFonts w:ascii="Times New Roman" w:hAnsi="Times New Roman"/>
          <w:sz w:val="24"/>
          <w:szCs w:val="24"/>
          <w:lang w:val="en-GB"/>
        </w:rPr>
        <w:t xml:space="preserve">National Medical Research </w:t>
      </w:r>
      <w:proofErr w:type="spellStart"/>
      <w:r w:rsidR="002F103E" w:rsidRPr="002807C7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="002F103E" w:rsidRPr="002807C7">
        <w:rPr>
          <w:rFonts w:ascii="Times New Roman" w:hAnsi="Times New Roman"/>
          <w:sz w:val="24"/>
          <w:szCs w:val="24"/>
          <w:lang w:val="en-GB"/>
        </w:rPr>
        <w:t xml:space="preserve"> of Children’s Health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A2313">
        <w:rPr>
          <w:rFonts w:ascii="Times New Roman" w:hAnsi="Times New Roman"/>
          <w:sz w:val="24"/>
          <w:szCs w:val="24"/>
          <w:lang w:val="en-GB"/>
        </w:rPr>
        <w:t>D</w:t>
      </w:r>
      <w:r w:rsidR="00330E25" w:rsidRPr="002807C7">
        <w:rPr>
          <w:rFonts w:ascii="Times New Roman" w:hAnsi="Times New Roman"/>
          <w:sz w:val="24"/>
          <w:szCs w:val="24"/>
          <w:lang w:val="en-GB"/>
        </w:rPr>
        <w:t>ean</w:t>
      </w:r>
      <w:r w:rsidR="00CD02D2">
        <w:rPr>
          <w:rFonts w:ascii="Times New Roman" w:hAnsi="Times New Roman"/>
          <w:sz w:val="24"/>
          <w:szCs w:val="24"/>
          <w:lang w:val="en-GB"/>
        </w:rPr>
        <w:t xml:space="preserve"> of P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>aediatrics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A2313">
        <w:rPr>
          <w:rFonts w:ascii="Times New Roman" w:hAnsi="Times New Roman"/>
          <w:sz w:val="24"/>
          <w:szCs w:val="24"/>
          <w:lang w:val="en-GB"/>
        </w:rPr>
        <w:t>D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 xml:space="preserve">epartment in </w:t>
      </w:r>
      <w:proofErr w:type="spellStart"/>
      <w:r w:rsidR="000B06D2" w:rsidRPr="002807C7">
        <w:rPr>
          <w:rFonts w:ascii="Times New Roman" w:hAnsi="Times New Roman"/>
          <w:sz w:val="24"/>
          <w:szCs w:val="24"/>
          <w:lang w:val="en-GB"/>
        </w:rPr>
        <w:t>Sechenov</w:t>
      </w:r>
      <w:proofErr w:type="spellEnd"/>
      <w:r w:rsidR="000B06D2" w:rsidRPr="002807C7">
        <w:rPr>
          <w:rFonts w:ascii="Times New Roman" w:hAnsi="Times New Roman"/>
          <w:sz w:val="24"/>
          <w:szCs w:val="24"/>
          <w:lang w:val="en-GB"/>
        </w:rPr>
        <w:t xml:space="preserve"> First Moscow State Medical University</w:t>
      </w:r>
    </w:p>
    <w:p w14:paraId="0EC6CAD8" w14:textId="6B4A991A" w:rsidR="00451E78" w:rsidRPr="002807C7" w:rsidRDefault="000B06D2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  <w:r w:rsidRPr="002807C7">
        <w:rPr>
          <w:rFonts w:ascii="Times New Roman" w:hAnsi="Times New Roman"/>
          <w:b/>
          <w:sz w:val="24"/>
          <w:szCs w:val="24"/>
          <w:lang w:val="en-GB"/>
        </w:rPr>
        <w:t>Address</w:t>
      </w:r>
      <w:r w:rsidR="00451E78" w:rsidRPr="002807C7">
        <w:rPr>
          <w:rFonts w:ascii="Times New Roman" w:hAnsi="Times New Roman"/>
          <w:b/>
          <w:sz w:val="24"/>
          <w:szCs w:val="24"/>
          <w:lang w:val="en-GB"/>
        </w:rPr>
        <w:t>: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D02D2" w:rsidRPr="00CD02D2">
        <w:rPr>
          <w:rFonts w:ascii="Times New Roman" w:hAnsi="Times New Roman"/>
          <w:sz w:val="24"/>
          <w:szCs w:val="24"/>
          <w:lang w:val="en-US"/>
        </w:rPr>
        <w:t xml:space="preserve">2 </w:t>
      </w:r>
      <w:r w:rsidR="00CD02D2">
        <w:rPr>
          <w:rFonts w:ascii="Times New Roman" w:hAnsi="Times New Roman"/>
          <w:sz w:val="24"/>
          <w:szCs w:val="24"/>
          <w:lang w:val="en-GB"/>
        </w:rPr>
        <w:t>Lomonosov Avenue</w:t>
      </w:r>
      <w:r w:rsidR="00CD02D2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D02D2" w:rsidRPr="00CD02D2">
        <w:rPr>
          <w:rFonts w:ascii="Times New Roman" w:hAnsi="Times New Roman"/>
          <w:sz w:val="24"/>
          <w:szCs w:val="24"/>
          <w:lang w:val="en-US"/>
        </w:rPr>
        <w:t>(</w:t>
      </w:r>
      <w:r w:rsidR="00CD02D2" w:rsidRPr="002807C7">
        <w:rPr>
          <w:rFonts w:ascii="Times New Roman" w:hAnsi="Times New Roman"/>
          <w:sz w:val="24"/>
          <w:szCs w:val="24"/>
          <w:lang w:val="en-GB"/>
        </w:rPr>
        <w:t>building</w:t>
      </w:r>
      <w:r w:rsidR="00CD02D2" w:rsidRPr="00CD02D2">
        <w:rPr>
          <w:rFonts w:ascii="Times New Roman" w:hAnsi="Times New Roman"/>
          <w:sz w:val="24"/>
          <w:szCs w:val="24"/>
          <w:lang w:val="en-US"/>
        </w:rPr>
        <w:t xml:space="preserve"> 1),</w:t>
      </w:r>
      <w:r w:rsidR="00CD02D2" w:rsidRPr="002807C7">
        <w:rPr>
          <w:rFonts w:ascii="Times New Roman" w:hAnsi="Times New Roman"/>
          <w:sz w:val="24"/>
          <w:szCs w:val="24"/>
          <w:lang w:val="en-GB"/>
        </w:rPr>
        <w:t xml:space="preserve"> Moscow </w:t>
      </w:r>
      <w:r w:rsidR="00CD02D2">
        <w:rPr>
          <w:rFonts w:ascii="Times New Roman" w:hAnsi="Times New Roman"/>
          <w:sz w:val="24"/>
          <w:szCs w:val="24"/>
          <w:lang w:val="en-GB"/>
        </w:rPr>
        <w:t>119991,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D02D2">
        <w:rPr>
          <w:rFonts w:ascii="Times New Roman" w:hAnsi="Times New Roman"/>
          <w:b/>
          <w:sz w:val="24"/>
          <w:szCs w:val="24"/>
          <w:lang w:val="en-US"/>
        </w:rPr>
        <w:t>phone</w:t>
      </w:r>
      <w:r w:rsidR="00451E78" w:rsidRPr="002807C7">
        <w:rPr>
          <w:rFonts w:ascii="Times New Roman" w:hAnsi="Times New Roman"/>
          <w:b/>
          <w:sz w:val="24"/>
          <w:szCs w:val="24"/>
          <w:lang w:val="en-GB"/>
        </w:rPr>
        <w:t>: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 +7 (499) 134-02-97, </w:t>
      </w:r>
      <w:r w:rsidR="00451E78" w:rsidRPr="002807C7">
        <w:rPr>
          <w:rFonts w:ascii="Times New Roman" w:hAnsi="Times New Roman"/>
          <w:b/>
          <w:sz w:val="24"/>
          <w:szCs w:val="24"/>
          <w:lang w:val="en-GB"/>
        </w:rPr>
        <w:t>e-mail: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40CA1">
        <w:fldChar w:fldCharType="begin"/>
      </w:r>
      <w:r w:rsidR="00740CA1" w:rsidRPr="00740CA1">
        <w:rPr>
          <w:lang w:val="en-US"/>
        </w:rPr>
        <w:instrText xml:space="preserve"> HYPERLINK "mailto:alekatya@yandex.ru" </w:instrText>
      </w:r>
      <w:r w:rsidR="00740CA1">
        <w:fldChar w:fldCharType="separate"/>
      </w:r>
      <w:r w:rsidR="00451E78" w:rsidRPr="002807C7">
        <w:rPr>
          <w:rStyle w:val="a4"/>
          <w:rFonts w:ascii="Times New Roman" w:hAnsi="Times New Roman"/>
          <w:sz w:val="24"/>
          <w:szCs w:val="24"/>
          <w:lang w:val="en-GB"/>
        </w:rPr>
        <w:t>alekatya@yandex.ru</w:t>
      </w:r>
      <w:r w:rsidR="00740CA1">
        <w:rPr>
          <w:rStyle w:val="a4"/>
          <w:rFonts w:ascii="Times New Roman" w:hAnsi="Times New Roman"/>
          <w:sz w:val="24"/>
          <w:szCs w:val="24"/>
          <w:lang w:val="en-GB"/>
        </w:rPr>
        <w:fldChar w:fldCharType="end"/>
      </w:r>
    </w:p>
    <w:p w14:paraId="1E243D14" w14:textId="49CBC11A" w:rsidR="00451E78" w:rsidRPr="002807C7" w:rsidRDefault="00925951" w:rsidP="002F207C">
      <w:pPr>
        <w:pStyle w:val="a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Article </w:t>
      </w:r>
      <w:r>
        <w:rPr>
          <w:rFonts w:ascii="Times New Roman" w:hAnsi="Times New Roman"/>
          <w:b/>
          <w:sz w:val="24"/>
          <w:szCs w:val="24"/>
          <w:lang w:val="en-GB"/>
        </w:rPr>
        <w:t>r</w:t>
      </w:r>
      <w:r w:rsidR="000B06D2" w:rsidRPr="002807C7">
        <w:rPr>
          <w:rFonts w:ascii="Times New Roman" w:hAnsi="Times New Roman"/>
          <w:b/>
          <w:sz w:val="24"/>
          <w:szCs w:val="24"/>
          <w:lang w:val="en-GB"/>
        </w:rPr>
        <w:t>eceived</w:t>
      </w:r>
      <w:r w:rsidR="00451E78" w:rsidRPr="002807C7">
        <w:rPr>
          <w:rFonts w:ascii="Times New Roman" w:hAnsi="Times New Roman"/>
          <w:b/>
          <w:sz w:val="24"/>
          <w:szCs w:val="24"/>
          <w:lang w:val="en-GB"/>
        </w:rPr>
        <w:t>: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Feb 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>11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>2019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submitted </w:t>
      </w:r>
      <w:r w:rsidR="000B06D2" w:rsidRPr="002807C7">
        <w:rPr>
          <w:rFonts w:ascii="Times New Roman" w:hAnsi="Times New Roman"/>
          <w:b/>
          <w:sz w:val="24"/>
          <w:szCs w:val="24"/>
          <w:lang w:val="en-GB"/>
        </w:rPr>
        <w:t>for publication</w:t>
      </w:r>
      <w:r w:rsidR="00451E78" w:rsidRPr="002807C7">
        <w:rPr>
          <w:rFonts w:ascii="Times New Roman" w:hAnsi="Times New Roman"/>
          <w:b/>
          <w:sz w:val="24"/>
          <w:szCs w:val="24"/>
          <w:lang w:val="en-GB"/>
        </w:rPr>
        <w:t>: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D02D2">
        <w:rPr>
          <w:rFonts w:ascii="Times New Roman" w:hAnsi="Times New Roman"/>
          <w:sz w:val="24"/>
          <w:szCs w:val="24"/>
          <w:lang w:val="en-GB"/>
        </w:rPr>
        <w:t xml:space="preserve">Feb 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>25</w:t>
      </w:r>
      <w:r w:rsidR="00CD02D2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0B06D2" w:rsidRPr="002807C7">
        <w:rPr>
          <w:rFonts w:ascii="Times New Roman" w:hAnsi="Times New Roman"/>
          <w:sz w:val="24"/>
          <w:szCs w:val="24"/>
          <w:lang w:val="en-GB"/>
        </w:rPr>
        <w:t>2019</w:t>
      </w:r>
      <w:r w:rsidR="00451E78" w:rsidRPr="002807C7">
        <w:rPr>
          <w:rFonts w:ascii="Times New Roman" w:hAnsi="Times New Roman"/>
          <w:sz w:val="24"/>
          <w:szCs w:val="24"/>
          <w:lang w:val="en-GB"/>
        </w:rPr>
        <w:t>.</w:t>
      </w:r>
    </w:p>
    <w:p w14:paraId="47A57544" w14:textId="77777777" w:rsidR="005B6880" w:rsidRPr="002807C7" w:rsidRDefault="005B6880" w:rsidP="002F207C">
      <w:pPr>
        <w:pStyle w:val="a3"/>
        <w:jc w:val="both"/>
        <w:rPr>
          <w:rFonts w:ascii="Times New Roman" w:hAnsi="Times New Roman"/>
          <w:i/>
          <w:sz w:val="24"/>
          <w:szCs w:val="24"/>
          <w:lang w:val="en-GB"/>
        </w:rPr>
      </w:pPr>
    </w:p>
    <w:p w14:paraId="2B76A2F1" w14:textId="1A277B0E" w:rsidR="005B6880" w:rsidRPr="002807C7" w:rsidRDefault="00EC20A7" w:rsidP="002F207C">
      <w:pPr>
        <w:pStyle w:val="a3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EC20A7">
        <w:rPr>
          <w:rFonts w:ascii="Times New Roman" w:hAnsi="Times New Roman"/>
          <w:b/>
          <w:i/>
          <w:sz w:val="24"/>
          <w:szCs w:val="24"/>
          <w:lang w:val="en-US"/>
        </w:rPr>
        <w:t>Background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="005B6880" w:rsidRPr="002807C7">
        <w:rPr>
          <w:rFonts w:ascii="Times New Roman" w:hAnsi="Times New Roman"/>
          <w:i/>
          <w:sz w:val="24"/>
          <w:szCs w:val="24"/>
          <w:lang w:val="en-GB"/>
        </w:rPr>
        <w:t xml:space="preserve">Prognosis of therapy results of patients with the juvenile </w:t>
      </w:r>
      <w:proofErr w:type="spellStart"/>
      <w:r w:rsidR="005B6880" w:rsidRPr="002807C7">
        <w:rPr>
          <w:rFonts w:ascii="Times New Roman" w:hAnsi="Times New Roman"/>
          <w:i/>
          <w:sz w:val="24"/>
          <w:szCs w:val="24"/>
          <w:lang w:val="en-GB"/>
        </w:rPr>
        <w:t>idiopatic</w:t>
      </w:r>
      <w:proofErr w:type="spellEnd"/>
      <w:r w:rsidR="005B6880" w:rsidRPr="002807C7">
        <w:rPr>
          <w:rFonts w:ascii="Times New Roman" w:hAnsi="Times New Roman"/>
          <w:i/>
          <w:sz w:val="24"/>
          <w:szCs w:val="24"/>
          <w:lang w:val="en-GB"/>
        </w:rPr>
        <w:t xml:space="preserve"> arthritis (JIA) without systematic manifestations is the precondition of their treatment efficiency enhancement. </w:t>
      </w:r>
      <w:r w:rsidR="005B6880" w:rsidRPr="002807C7">
        <w:rPr>
          <w:rFonts w:ascii="Times New Roman" w:hAnsi="Times New Roman"/>
          <w:b/>
          <w:i/>
          <w:sz w:val="24"/>
          <w:szCs w:val="24"/>
          <w:lang w:val="en-GB"/>
        </w:rPr>
        <w:t>Objective.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Our aim was t</w:t>
      </w:r>
      <w:r w:rsidR="005B6880" w:rsidRPr="002807C7">
        <w:rPr>
          <w:rFonts w:ascii="Times New Roman" w:hAnsi="Times New Roman"/>
          <w:i/>
          <w:sz w:val="24"/>
          <w:szCs w:val="24"/>
          <w:lang w:val="en-GB"/>
        </w:rPr>
        <w:t>o establish early predictors for remission achievement in patients with JIA without systematic manifestations</w:t>
      </w:r>
      <w:r w:rsidR="006D6811" w:rsidRPr="002807C7">
        <w:rPr>
          <w:rFonts w:ascii="Times New Roman" w:hAnsi="Times New Roman"/>
          <w:i/>
          <w:sz w:val="24"/>
          <w:szCs w:val="24"/>
          <w:lang w:val="en-GB"/>
        </w:rPr>
        <w:t xml:space="preserve"> who received Etanercept therapy</w:t>
      </w:r>
      <w:r w:rsidR="005B6880" w:rsidRPr="002807C7"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  <w:r w:rsidR="005B6880" w:rsidRPr="002807C7">
        <w:rPr>
          <w:rFonts w:ascii="Times New Roman" w:hAnsi="Times New Roman"/>
          <w:b/>
          <w:i/>
          <w:sz w:val="24"/>
          <w:szCs w:val="24"/>
          <w:lang w:val="en-GB"/>
        </w:rPr>
        <w:t>Methods.</w:t>
      </w:r>
      <w:r w:rsidR="005B6880" w:rsidRPr="002807C7">
        <w:rPr>
          <w:rFonts w:ascii="Times New Roman" w:hAnsi="Times New Roman"/>
          <w:i/>
          <w:sz w:val="24"/>
          <w:szCs w:val="24"/>
          <w:lang w:val="en-GB"/>
        </w:rPr>
        <w:t xml:space="preserve"> The therapy results</w:t>
      </w:r>
      <w:r w:rsidR="003D3872" w:rsidRPr="002807C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DD02CB" w:rsidRPr="002807C7">
        <w:rPr>
          <w:rFonts w:ascii="Times New Roman" w:hAnsi="Times New Roman"/>
          <w:i/>
          <w:sz w:val="24"/>
          <w:szCs w:val="24"/>
          <w:lang w:val="en-GB"/>
        </w:rPr>
        <w:t>of</w:t>
      </w:r>
      <w:r w:rsidR="003D3872" w:rsidRPr="002807C7">
        <w:rPr>
          <w:rFonts w:ascii="Times New Roman" w:hAnsi="Times New Roman"/>
          <w:i/>
          <w:sz w:val="24"/>
          <w:szCs w:val="24"/>
          <w:lang w:val="en-GB"/>
        </w:rPr>
        <w:t xml:space="preserve"> patients with JIA without systematic manifestations</w:t>
      </w:r>
      <w:r w:rsidR="00DD02CB" w:rsidRPr="002807C7">
        <w:rPr>
          <w:rFonts w:ascii="Times New Roman" w:hAnsi="Times New Roman"/>
          <w:i/>
          <w:sz w:val="24"/>
          <w:szCs w:val="24"/>
          <w:lang w:val="en-GB"/>
        </w:rPr>
        <w:t xml:space="preserve"> hospitalized from December, 2009 to August, 2014 and administrated with Etanercept are analysed. </w:t>
      </w:r>
      <w:r w:rsidR="007768B9" w:rsidRPr="002807C7">
        <w:rPr>
          <w:rFonts w:ascii="Times New Roman" w:hAnsi="Times New Roman"/>
          <w:i/>
          <w:sz w:val="24"/>
          <w:szCs w:val="24"/>
          <w:lang w:val="en-GB"/>
        </w:rPr>
        <w:t xml:space="preserve">The association of initial demographic indicators </w:t>
      </w:r>
      <w:r w:rsidR="006D6811" w:rsidRPr="002807C7">
        <w:rPr>
          <w:rFonts w:ascii="Times New Roman" w:hAnsi="Times New Roman"/>
          <w:i/>
          <w:sz w:val="24"/>
          <w:szCs w:val="24"/>
          <w:lang w:val="en-GB"/>
        </w:rPr>
        <w:t>as well as</w:t>
      </w:r>
      <w:r w:rsidR="007768B9" w:rsidRPr="002807C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BE4475" w:rsidRPr="002807C7">
        <w:rPr>
          <w:rFonts w:ascii="Times New Roman" w:hAnsi="Times New Roman"/>
          <w:i/>
          <w:sz w:val="24"/>
          <w:szCs w:val="24"/>
          <w:lang w:val="en-GB"/>
        </w:rPr>
        <w:t>initial</w:t>
      </w:r>
      <w:r w:rsidR="006D6811" w:rsidRPr="002807C7">
        <w:rPr>
          <w:rFonts w:ascii="Times New Roman" w:hAnsi="Times New Roman"/>
          <w:i/>
          <w:sz w:val="24"/>
          <w:szCs w:val="24"/>
          <w:lang w:val="en-GB"/>
        </w:rPr>
        <w:t xml:space="preserve"> and registered after a month of treatment clinical and laboratory indicators with remission achievement after a year of treatment according to the Wallace criteria is estimated. </w:t>
      </w:r>
      <w:r w:rsidR="006D6811" w:rsidRPr="002807C7">
        <w:rPr>
          <w:rFonts w:ascii="Times New Roman" w:hAnsi="Times New Roman"/>
          <w:b/>
          <w:i/>
          <w:sz w:val="24"/>
          <w:szCs w:val="24"/>
          <w:lang w:val="en-GB"/>
        </w:rPr>
        <w:t>Results.</w:t>
      </w:r>
      <w:r w:rsidR="006D6811" w:rsidRPr="002807C7">
        <w:rPr>
          <w:rFonts w:ascii="Times New Roman" w:hAnsi="Times New Roman"/>
          <w:i/>
          <w:sz w:val="24"/>
          <w:szCs w:val="24"/>
          <w:lang w:val="en-GB"/>
        </w:rPr>
        <w:t xml:space="preserve"> The research included 197 patients with JIA without systematic manifestations</w:t>
      </w:r>
      <w:r w:rsidR="00B95A5F">
        <w:rPr>
          <w:rFonts w:ascii="Times New Roman" w:hAnsi="Times New Roman"/>
          <w:i/>
          <w:sz w:val="24"/>
          <w:szCs w:val="24"/>
          <w:lang w:val="en-GB"/>
        </w:rPr>
        <w:t xml:space="preserve"> who received Etanercept in 0.4</w:t>
      </w:r>
      <w:r w:rsidR="00B95A5F" w:rsidRPr="00B95A5F">
        <w:rPr>
          <w:rFonts w:ascii="Times New Roman" w:hAnsi="Times New Roman"/>
          <w:i/>
          <w:sz w:val="24"/>
          <w:szCs w:val="24"/>
          <w:lang w:val="en-US"/>
        </w:rPr>
        <w:t> </w:t>
      </w:r>
      <w:r w:rsidR="006D6811" w:rsidRPr="002807C7">
        <w:rPr>
          <w:rFonts w:ascii="Times New Roman" w:hAnsi="Times New Roman"/>
          <w:i/>
          <w:sz w:val="24"/>
          <w:szCs w:val="24"/>
          <w:lang w:val="en-GB"/>
        </w:rPr>
        <w:t>mg/kg dose twice a week subcutaneousl</w:t>
      </w:r>
      <w:r w:rsidR="00B95A5F">
        <w:rPr>
          <w:rFonts w:ascii="Times New Roman" w:hAnsi="Times New Roman"/>
          <w:i/>
          <w:sz w:val="24"/>
          <w:szCs w:val="24"/>
          <w:lang w:val="en-GB"/>
        </w:rPr>
        <w:t>y (the maximum single dose ― 25</w:t>
      </w:r>
      <w:r w:rsidR="00B95A5F" w:rsidRPr="00B95A5F">
        <w:rPr>
          <w:rFonts w:ascii="Times New Roman" w:hAnsi="Times New Roman"/>
          <w:i/>
          <w:sz w:val="24"/>
          <w:szCs w:val="24"/>
          <w:lang w:val="en-US"/>
        </w:rPr>
        <w:t> </w:t>
      </w:r>
      <w:r w:rsidR="006D6811" w:rsidRPr="002807C7">
        <w:rPr>
          <w:rFonts w:ascii="Times New Roman" w:hAnsi="Times New Roman"/>
          <w:i/>
          <w:sz w:val="24"/>
          <w:szCs w:val="24"/>
          <w:lang w:val="en-GB"/>
        </w:rPr>
        <w:t xml:space="preserve">mg). </w:t>
      </w:r>
      <w:r w:rsidR="001D400A" w:rsidRPr="002807C7">
        <w:rPr>
          <w:rFonts w:ascii="Times New Roman" w:hAnsi="Times New Roman"/>
          <w:i/>
          <w:sz w:val="24"/>
          <w:szCs w:val="24"/>
          <w:lang w:val="en-GB"/>
        </w:rPr>
        <w:t xml:space="preserve">In addition to Etanercept 136 (69%) patients received </w:t>
      </w:r>
      <w:proofErr w:type="spellStart"/>
      <w:r w:rsidR="001D400A" w:rsidRPr="002807C7">
        <w:rPr>
          <w:rFonts w:ascii="Times New Roman" w:hAnsi="Times New Roman"/>
          <w:i/>
          <w:sz w:val="24"/>
          <w:szCs w:val="24"/>
          <w:lang w:val="en-GB"/>
        </w:rPr>
        <w:t>Methotrexat</w:t>
      </w:r>
      <w:proofErr w:type="spellEnd"/>
      <w:r w:rsidR="001D400A" w:rsidRPr="002807C7">
        <w:rPr>
          <w:rFonts w:ascii="Times New Roman" w:hAnsi="Times New Roman"/>
          <w:i/>
          <w:sz w:val="24"/>
          <w:szCs w:val="24"/>
          <w:lang w:val="en-GB"/>
        </w:rPr>
        <w:t xml:space="preserve">, 121 (61%) ― non-steroidal anti-inflammatory drugs, 10 (5%) ― </w:t>
      </w:r>
      <w:proofErr w:type="spellStart"/>
      <w:r w:rsidR="001D400A" w:rsidRPr="002807C7">
        <w:rPr>
          <w:rFonts w:ascii="Times New Roman" w:hAnsi="Times New Roman"/>
          <w:i/>
          <w:sz w:val="24"/>
          <w:szCs w:val="24"/>
          <w:lang w:val="en-GB"/>
        </w:rPr>
        <w:t>glucocorticosteroids</w:t>
      </w:r>
      <w:proofErr w:type="spellEnd"/>
      <w:r w:rsidR="001D400A" w:rsidRPr="002807C7">
        <w:rPr>
          <w:rFonts w:ascii="Times New Roman" w:hAnsi="Times New Roman"/>
          <w:i/>
          <w:sz w:val="24"/>
          <w:szCs w:val="24"/>
          <w:lang w:val="en-GB"/>
        </w:rPr>
        <w:t>, 6 (3%) ― Sulfasalazine.</w:t>
      </w:r>
      <w:r w:rsidR="00B404EE" w:rsidRPr="002807C7">
        <w:rPr>
          <w:rFonts w:ascii="Times New Roman" w:hAnsi="Times New Roman"/>
          <w:i/>
          <w:sz w:val="24"/>
          <w:szCs w:val="24"/>
          <w:lang w:val="en-GB"/>
        </w:rPr>
        <w:t xml:space="preserve"> After a year of treatment remission was recorded in 77 out of 197 (39.1%) patients. According to </w:t>
      </w:r>
      <w:r w:rsidR="00A02199" w:rsidRPr="002807C7">
        <w:rPr>
          <w:rFonts w:ascii="Times New Roman" w:hAnsi="Times New Roman"/>
          <w:i/>
          <w:sz w:val="24"/>
          <w:szCs w:val="24"/>
          <w:lang w:val="en-GB"/>
        </w:rPr>
        <w:t>multivariate</w:t>
      </w:r>
      <w:r w:rsidR="00B404EE" w:rsidRPr="002807C7">
        <w:rPr>
          <w:rFonts w:ascii="Times New Roman" w:hAnsi="Times New Roman"/>
          <w:i/>
          <w:sz w:val="24"/>
          <w:szCs w:val="24"/>
          <w:lang w:val="en-GB"/>
        </w:rPr>
        <w:t xml:space="preserve"> analysis </w:t>
      </w:r>
      <w:r w:rsidR="00324A48" w:rsidRPr="002807C7">
        <w:rPr>
          <w:rFonts w:ascii="Times New Roman" w:hAnsi="Times New Roman"/>
          <w:i/>
          <w:sz w:val="24"/>
          <w:szCs w:val="24"/>
          <w:lang w:val="en-GB"/>
        </w:rPr>
        <w:t xml:space="preserve">the remission predictors are the following: </w:t>
      </w:r>
      <w:r w:rsidR="00B95A5F">
        <w:rPr>
          <w:rFonts w:ascii="Times New Roman" w:hAnsi="Times New Roman"/>
          <w:i/>
          <w:sz w:val="24"/>
          <w:szCs w:val="24"/>
          <w:lang w:val="en-GB"/>
        </w:rPr>
        <w:t>tender joint count ≤</w:t>
      </w:r>
      <w:r w:rsidR="00B95A5F" w:rsidRPr="00B95A5F">
        <w:rPr>
          <w:rFonts w:ascii="Times New Roman" w:hAnsi="Times New Roman"/>
          <w:i/>
          <w:sz w:val="24"/>
          <w:szCs w:val="24"/>
          <w:lang w:val="en-US"/>
        </w:rPr>
        <w:t> </w:t>
      </w:r>
      <w:r w:rsidR="00710AF4" w:rsidRPr="002807C7">
        <w:rPr>
          <w:rFonts w:ascii="Times New Roman" w:hAnsi="Times New Roman"/>
          <w:i/>
          <w:sz w:val="24"/>
          <w:szCs w:val="24"/>
          <w:lang w:val="en-GB"/>
        </w:rPr>
        <w:t xml:space="preserve">4 (odds ratio (OR) 4.38; 95% </w:t>
      </w:r>
      <w:r w:rsidR="00D43C75" w:rsidRPr="002807C7">
        <w:rPr>
          <w:rFonts w:ascii="Times New Roman" w:hAnsi="Times New Roman"/>
          <w:i/>
          <w:sz w:val="24"/>
          <w:szCs w:val="24"/>
          <w:lang w:val="en-GB"/>
        </w:rPr>
        <w:t>confidential interval (CI) 2.33−8.55</w:t>
      </w:r>
      <w:r w:rsidR="00710AF4" w:rsidRPr="002807C7">
        <w:rPr>
          <w:rFonts w:ascii="Times New Roman" w:hAnsi="Times New Roman"/>
          <w:i/>
          <w:sz w:val="24"/>
          <w:szCs w:val="24"/>
          <w:lang w:val="en-GB"/>
        </w:rPr>
        <w:t>)</w:t>
      </w:r>
      <w:r w:rsidR="00D43C75" w:rsidRPr="002807C7">
        <w:rPr>
          <w:rFonts w:ascii="Times New Roman" w:hAnsi="Times New Roman"/>
          <w:i/>
          <w:sz w:val="24"/>
          <w:szCs w:val="24"/>
          <w:lang w:val="en-GB"/>
        </w:rPr>
        <w:t>, duration of illn</w:t>
      </w:r>
      <w:r w:rsidR="00B95A5F">
        <w:rPr>
          <w:rFonts w:ascii="Times New Roman" w:hAnsi="Times New Roman"/>
          <w:i/>
          <w:sz w:val="24"/>
          <w:szCs w:val="24"/>
          <w:lang w:val="en-GB"/>
        </w:rPr>
        <w:t>ess before Etanercept therapy ≤</w:t>
      </w:r>
      <w:r w:rsidR="00B95A5F" w:rsidRPr="00B95A5F">
        <w:rPr>
          <w:rFonts w:ascii="Times New Roman" w:hAnsi="Times New Roman"/>
          <w:i/>
          <w:sz w:val="24"/>
          <w:szCs w:val="24"/>
          <w:lang w:val="en-US"/>
        </w:rPr>
        <w:t> </w:t>
      </w:r>
      <w:r w:rsidR="00D43C75" w:rsidRPr="002807C7">
        <w:rPr>
          <w:rFonts w:ascii="Times New Roman" w:hAnsi="Times New Roman"/>
          <w:i/>
          <w:sz w:val="24"/>
          <w:szCs w:val="24"/>
          <w:lang w:val="en-GB"/>
        </w:rPr>
        <w:t>2 years (OR 1.28; 95% CI 1.02</w:t>
      </w:r>
      <w:r w:rsidR="00B95A5F">
        <w:rPr>
          <w:rFonts w:ascii="Times New Roman" w:hAnsi="Times New Roman"/>
          <w:i/>
          <w:sz w:val="24"/>
          <w:szCs w:val="24"/>
          <w:lang w:val="en-GB"/>
        </w:rPr>
        <w:t>–</w:t>
      </w:r>
      <w:r w:rsidR="00D43C75" w:rsidRPr="002807C7">
        <w:rPr>
          <w:rFonts w:ascii="Times New Roman" w:hAnsi="Times New Roman"/>
          <w:i/>
          <w:sz w:val="24"/>
          <w:szCs w:val="24"/>
          <w:lang w:val="en-GB"/>
        </w:rPr>
        <w:t>2.15), disease activity decli</w:t>
      </w:r>
      <w:r w:rsidR="00B95A5F">
        <w:rPr>
          <w:rFonts w:ascii="Times New Roman" w:hAnsi="Times New Roman"/>
          <w:i/>
          <w:sz w:val="24"/>
          <w:szCs w:val="24"/>
          <w:lang w:val="en-GB"/>
        </w:rPr>
        <w:t>ne according to JADAS71 index ≥</w:t>
      </w:r>
      <w:r w:rsidR="00B95A5F" w:rsidRPr="00B95A5F">
        <w:rPr>
          <w:rFonts w:ascii="Times New Roman" w:hAnsi="Times New Roman"/>
          <w:i/>
          <w:sz w:val="24"/>
          <w:szCs w:val="24"/>
          <w:lang w:val="en-US"/>
        </w:rPr>
        <w:t> </w:t>
      </w:r>
      <w:r w:rsidR="00D43C75" w:rsidRPr="002807C7">
        <w:rPr>
          <w:rFonts w:ascii="Times New Roman" w:hAnsi="Times New Roman"/>
          <w:i/>
          <w:sz w:val="24"/>
          <w:szCs w:val="24"/>
          <w:lang w:val="en-GB"/>
        </w:rPr>
        <w:t>10 points in a month of the therapy including Etanercept (OR 2.59; 95% CI 1.38</w:t>
      </w:r>
      <w:r w:rsidR="00B95A5F" w:rsidRPr="002807C7">
        <w:rPr>
          <w:rFonts w:ascii="Times New Roman" w:hAnsi="Times New Roman"/>
          <w:i/>
          <w:sz w:val="24"/>
          <w:szCs w:val="24"/>
          <w:lang w:val="en-GB"/>
        </w:rPr>
        <w:t>−</w:t>
      </w:r>
      <w:r w:rsidR="00D43C75" w:rsidRPr="002807C7">
        <w:rPr>
          <w:rFonts w:ascii="Times New Roman" w:hAnsi="Times New Roman"/>
          <w:i/>
          <w:sz w:val="24"/>
          <w:szCs w:val="24"/>
          <w:lang w:val="en-GB"/>
        </w:rPr>
        <w:t xml:space="preserve">5.03). Model sensitivity was 32% (all three criteria in 25/77 patients with remission), specificity ― 94% (lack of </w:t>
      </w:r>
      <w:r w:rsidR="000E4F6F" w:rsidRPr="002807C7">
        <w:rPr>
          <w:rFonts w:ascii="Times New Roman" w:hAnsi="Times New Roman"/>
          <w:i/>
          <w:sz w:val="24"/>
          <w:szCs w:val="24"/>
          <w:lang w:val="en-GB"/>
        </w:rPr>
        <w:t>even</w:t>
      </w:r>
      <w:r w:rsidR="00D43C75" w:rsidRPr="002807C7">
        <w:rPr>
          <w:rFonts w:ascii="Times New Roman" w:hAnsi="Times New Roman"/>
          <w:i/>
          <w:sz w:val="24"/>
          <w:szCs w:val="24"/>
          <w:lang w:val="en-GB"/>
        </w:rPr>
        <w:t xml:space="preserve"> one criteria in 113/120 patients who did not achieve remission).</w:t>
      </w:r>
      <w:r w:rsidR="000E4F6F" w:rsidRPr="002807C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0E4F6F" w:rsidRPr="002807C7">
        <w:rPr>
          <w:rFonts w:ascii="Times New Roman" w:hAnsi="Times New Roman"/>
          <w:b/>
          <w:i/>
          <w:sz w:val="24"/>
          <w:szCs w:val="24"/>
          <w:lang w:val="en-GB"/>
        </w:rPr>
        <w:t>Conclusion.</w:t>
      </w:r>
      <w:r w:rsidR="000E4F6F" w:rsidRPr="002807C7">
        <w:rPr>
          <w:rFonts w:ascii="Times New Roman" w:hAnsi="Times New Roman"/>
          <w:i/>
          <w:sz w:val="24"/>
          <w:szCs w:val="24"/>
          <w:lang w:val="en-GB"/>
        </w:rPr>
        <w:t xml:space="preserve"> The predictors of remission in patients with JIA without systematic manifestations in 1 year of Etanercept therapy are smaller tender joint count prior to therapy, smaller duration of illness as well as significant disease activity decline in a month of the therapy.</w:t>
      </w:r>
    </w:p>
    <w:p w14:paraId="7AC0B012" w14:textId="53982274" w:rsidR="00187E75" w:rsidRPr="002807C7" w:rsidRDefault="00DF3BD0" w:rsidP="002F207C">
      <w:pPr>
        <w:pStyle w:val="a3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2807C7">
        <w:rPr>
          <w:rFonts w:ascii="Times New Roman" w:hAnsi="Times New Roman"/>
          <w:b/>
          <w:i/>
          <w:sz w:val="24"/>
          <w:szCs w:val="24"/>
          <w:lang w:val="en-GB"/>
        </w:rPr>
        <w:t>Key words</w:t>
      </w:r>
      <w:r w:rsidR="00187E75" w:rsidRPr="002807C7">
        <w:rPr>
          <w:rFonts w:ascii="Times New Roman" w:hAnsi="Times New Roman"/>
          <w:b/>
          <w:i/>
          <w:sz w:val="24"/>
          <w:szCs w:val="24"/>
          <w:lang w:val="en-GB"/>
        </w:rPr>
        <w:t>:</w:t>
      </w:r>
      <w:r w:rsidR="00187E75" w:rsidRPr="002807C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236942" w:rsidRPr="002807C7">
        <w:rPr>
          <w:rFonts w:ascii="Times New Roman" w:hAnsi="Times New Roman"/>
          <w:i/>
          <w:sz w:val="24"/>
          <w:szCs w:val="24"/>
          <w:lang w:val="en-GB"/>
        </w:rPr>
        <w:t xml:space="preserve">children, juvenile </w:t>
      </w:r>
      <w:proofErr w:type="spellStart"/>
      <w:r w:rsidR="00236942" w:rsidRPr="002807C7">
        <w:rPr>
          <w:rFonts w:ascii="Times New Roman" w:hAnsi="Times New Roman"/>
          <w:i/>
          <w:sz w:val="24"/>
          <w:szCs w:val="24"/>
          <w:lang w:val="en-GB"/>
        </w:rPr>
        <w:t>idiopatic</w:t>
      </w:r>
      <w:proofErr w:type="spellEnd"/>
      <w:r w:rsidR="00236942" w:rsidRPr="002807C7">
        <w:rPr>
          <w:rFonts w:ascii="Times New Roman" w:hAnsi="Times New Roman"/>
          <w:i/>
          <w:sz w:val="24"/>
          <w:szCs w:val="24"/>
          <w:lang w:val="en-GB"/>
        </w:rPr>
        <w:t xml:space="preserve"> arthritis, </w:t>
      </w:r>
      <w:r w:rsidR="0096413C" w:rsidRPr="002807C7">
        <w:rPr>
          <w:rFonts w:ascii="Times New Roman" w:hAnsi="Times New Roman"/>
          <w:i/>
          <w:sz w:val="24"/>
          <w:szCs w:val="24"/>
          <w:lang w:val="en-GB"/>
        </w:rPr>
        <w:t>therapy, predictors, risk factors, genetically engineered biologic drugs, Etanercept, adverse effects</w:t>
      </w:r>
      <w:r w:rsidR="00187E75" w:rsidRPr="002807C7">
        <w:rPr>
          <w:rFonts w:ascii="Times New Roman" w:hAnsi="Times New Roman"/>
          <w:i/>
          <w:sz w:val="24"/>
          <w:szCs w:val="24"/>
          <w:lang w:val="en-GB"/>
        </w:rPr>
        <w:t>.</w:t>
      </w:r>
    </w:p>
    <w:p w14:paraId="4D2FAF54" w14:textId="75FDEEAA" w:rsidR="00187E75" w:rsidRPr="00925951" w:rsidRDefault="00187E75" w:rsidP="0092595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807C7">
        <w:rPr>
          <w:rFonts w:ascii="Times New Roman" w:hAnsi="Times New Roman"/>
          <w:lang w:val="en-GB"/>
        </w:rPr>
        <w:t>(</w:t>
      </w:r>
      <w:r w:rsidR="00DF3BD0" w:rsidRPr="002807C7">
        <w:rPr>
          <w:rFonts w:ascii="Times New Roman" w:hAnsi="Times New Roman"/>
          <w:b/>
          <w:i/>
          <w:lang w:val="en-GB"/>
        </w:rPr>
        <w:t>For citation</w:t>
      </w:r>
      <w:r w:rsidRPr="002807C7">
        <w:rPr>
          <w:rFonts w:ascii="Times New Roman" w:hAnsi="Times New Roman"/>
          <w:b/>
          <w:i/>
          <w:lang w:val="en-GB"/>
        </w:rPr>
        <w:t>:</w:t>
      </w:r>
      <w:r w:rsidRPr="002807C7">
        <w:rPr>
          <w:rFonts w:ascii="Times New Roman" w:hAnsi="Times New Roman"/>
          <w:lang w:val="en-GB"/>
        </w:rPr>
        <w:t xml:space="preserve"> </w:t>
      </w:r>
      <w:proofErr w:type="spellStart"/>
      <w:r w:rsidR="00EC20A7" w:rsidRPr="00EC20A7">
        <w:rPr>
          <w:rFonts w:ascii="Times New Roman" w:hAnsi="Times New Roman"/>
          <w:lang w:val="en-GB"/>
        </w:rPr>
        <w:t>Alexeeva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Ekaterina I., </w:t>
      </w:r>
      <w:proofErr w:type="spellStart"/>
      <w:r w:rsidR="00EC20A7" w:rsidRPr="00EC20A7">
        <w:rPr>
          <w:rFonts w:ascii="Times New Roman" w:hAnsi="Times New Roman"/>
          <w:lang w:val="en-GB"/>
        </w:rPr>
        <w:t>Dvoryakovskaya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Tatyana M., </w:t>
      </w:r>
      <w:proofErr w:type="spellStart"/>
      <w:r w:rsidR="00EC20A7" w:rsidRPr="00EC20A7">
        <w:rPr>
          <w:rFonts w:ascii="Times New Roman" w:hAnsi="Times New Roman"/>
          <w:lang w:val="en-GB"/>
        </w:rPr>
        <w:t>Isaeva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Kseniya B., </w:t>
      </w:r>
      <w:proofErr w:type="spellStart"/>
      <w:r w:rsidR="00EC20A7" w:rsidRPr="00EC20A7">
        <w:rPr>
          <w:rFonts w:ascii="Times New Roman" w:hAnsi="Times New Roman"/>
          <w:lang w:val="en-GB"/>
        </w:rPr>
        <w:t>Sleptsova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Tatyana V., </w:t>
      </w:r>
      <w:proofErr w:type="spellStart"/>
      <w:r w:rsidR="00EC20A7" w:rsidRPr="00EC20A7">
        <w:rPr>
          <w:rFonts w:ascii="Times New Roman" w:hAnsi="Times New Roman"/>
          <w:lang w:val="en-GB"/>
        </w:rPr>
        <w:t>Denisova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Rina V., </w:t>
      </w:r>
      <w:proofErr w:type="spellStart"/>
      <w:r w:rsidR="00EC20A7" w:rsidRPr="00EC20A7">
        <w:rPr>
          <w:rFonts w:ascii="Times New Roman" w:hAnsi="Times New Roman"/>
          <w:lang w:val="en-GB"/>
        </w:rPr>
        <w:t>Soloshenko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Margarita A., </w:t>
      </w:r>
      <w:proofErr w:type="spellStart"/>
      <w:r w:rsidR="00EC20A7" w:rsidRPr="00EC20A7">
        <w:rPr>
          <w:rFonts w:ascii="Times New Roman" w:hAnsi="Times New Roman"/>
          <w:lang w:val="en-GB"/>
        </w:rPr>
        <w:t>Lomakina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Olga L., </w:t>
      </w:r>
      <w:proofErr w:type="spellStart"/>
      <w:r w:rsidR="00EC20A7" w:rsidRPr="00EC20A7">
        <w:rPr>
          <w:rFonts w:ascii="Times New Roman" w:hAnsi="Times New Roman"/>
          <w:lang w:val="en-GB"/>
        </w:rPr>
        <w:t>Fetisova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Anna N., </w:t>
      </w:r>
      <w:proofErr w:type="spellStart"/>
      <w:r w:rsidR="00EC20A7" w:rsidRPr="00EC20A7">
        <w:rPr>
          <w:rFonts w:ascii="Times New Roman" w:hAnsi="Times New Roman"/>
          <w:lang w:val="en-GB"/>
        </w:rPr>
        <w:t>Vankova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</w:t>
      </w:r>
      <w:proofErr w:type="spellStart"/>
      <w:r w:rsidR="00EC20A7" w:rsidRPr="00EC20A7">
        <w:rPr>
          <w:rFonts w:ascii="Times New Roman" w:hAnsi="Times New Roman"/>
          <w:lang w:val="en-GB"/>
        </w:rPr>
        <w:t>Dariya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D., </w:t>
      </w:r>
      <w:proofErr w:type="spellStart"/>
      <w:r w:rsidR="00EC20A7" w:rsidRPr="00EC20A7">
        <w:rPr>
          <w:rFonts w:ascii="Times New Roman" w:hAnsi="Times New Roman"/>
          <w:lang w:val="en-GB"/>
        </w:rPr>
        <w:t>Alshevskaya</w:t>
      </w:r>
      <w:proofErr w:type="spellEnd"/>
      <w:r w:rsidR="00EC20A7" w:rsidRPr="00EC20A7">
        <w:rPr>
          <w:rFonts w:ascii="Times New Roman" w:hAnsi="Times New Roman"/>
          <w:vertAlign w:val="superscript"/>
          <w:lang w:val="en-GB"/>
        </w:rPr>
        <w:t xml:space="preserve"> </w:t>
      </w:r>
      <w:r w:rsidR="00EC20A7" w:rsidRPr="00EC20A7">
        <w:rPr>
          <w:rFonts w:ascii="Times New Roman" w:hAnsi="Times New Roman"/>
          <w:lang w:val="en-GB"/>
        </w:rPr>
        <w:t xml:space="preserve">Alina A., </w:t>
      </w:r>
      <w:proofErr w:type="spellStart"/>
      <w:r w:rsidR="00EC20A7" w:rsidRPr="00EC20A7">
        <w:rPr>
          <w:rFonts w:ascii="Times New Roman" w:hAnsi="Times New Roman"/>
          <w:lang w:val="en-GB"/>
        </w:rPr>
        <w:t>Moskalev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Andrei V., </w:t>
      </w:r>
      <w:proofErr w:type="spellStart"/>
      <w:r w:rsidR="00EC20A7" w:rsidRPr="00EC20A7">
        <w:rPr>
          <w:rFonts w:ascii="Times New Roman" w:hAnsi="Times New Roman"/>
          <w:lang w:val="en-GB"/>
        </w:rPr>
        <w:t>Mamutova</w:t>
      </w:r>
      <w:proofErr w:type="spellEnd"/>
      <w:r w:rsidR="00EC20A7" w:rsidRPr="00EC20A7">
        <w:rPr>
          <w:rFonts w:ascii="Times New Roman" w:hAnsi="Times New Roman"/>
          <w:lang w:val="en-GB"/>
        </w:rPr>
        <w:t xml:space="preserve"> Anna V</w:t>
      </w:r>
      <w:r w:rsidR="0071577F" w:rsidRPr="00EC20A7">
        <w:rPr>
          <w:rFonts w:ascii="Times New Roman" w:hAnsi="Times New Roman"/>
          <w:lang w:val="en-GB"/>
        </w:rPr>
        <w:t>.</w:t>
      </w:r>
      <w:r w:rsidRPr="002807C7">
        <w:rPr>
          <w:rFonts w:ascii="Times New Roman" w:hAnsi="Times New Roman"/>
          <w:lang w:val="en-GB"/>
        </w:rPr>
        <w:t xml:space="preserve"> </w:t>
      </w:r>
      <w:r w:rsidR="00236942" w:rsidRPr="002807C7">
        <w:rPr>
          <w:rFonts w:ascii="Times New Roman" w:hAnsi="Times New Roman"/>
          <w:lang w:val="en-GB"/>
        </w:rPr>
        <w:t xml:space="preserve">Early Prognostic Factors for Remission Achievement at Etanercept Therapy in Patients with Juvenile </w:t>
      </w:r>
      <w:proofErr w:type="spellStart"/>
      <w:r w:rsidR="00236942" w:rsidRPr="002807C7">
        <w:rPr>
          <w:rFonts w:ascii="Times New Roman" w:hAnsi="Times New Roman"/>
          <w:lang w:val="en-GB"/>
        </w:rPr>
        <w:t>Idiopatic</w:t>
      </w:r>
      <w:proofErr w:type="spellEnd"/>
      <w:r w:rsidR="00236942" w:rsidRPr="002807C7">
        <w:rPr>
          <w:rFonts w:ascii="Times New Roman" w:hAnsi="Times New Roman"/>
          <w:lang w:val="en-GB"/>
        </w:rPr>
        <w:t xml:space="preserve"> Arthritis without Systematic Manifestations: Prospective Cohort Study</w:t>
      </w:r>
      <w:r w:rsidRPr="002807C7">
        <w:rPr>
          <w:rFonts w:ascii="Times New Roman" w:hAnsi="Times New Roman"/>
          <w:lang w:val="en-GB"/>
        </w:rPr>
        <w:t>.</w:t>
      </w:r>
      <w:r w:rsidR="00A23F20" w:rsidRPr="002807C7">
        <w:rPr>
          <w:rFonts w:ascii="Times New Roman" w:hAnsi="Times New Roman"/>
          <w:lang w:val="en-GB"/>
        </w:rPr>
        <w:t xml:space="preserve"> </w:t>
      </w:r>
      <w:proofErr w:type="spellStart"/>
      <w:r w:rsidR="003F5710" w:rsidRPr="00925951">
        <w:rPr>
          <w:rFonts w:ascii="Times New Roman" w:hAnsi="Times New Roman"/>
          <w:i/>
          <w:lang w:val="en-GB"/>
        </w:rPr>
        <w:t>Voprosy</w:t>
      </w:r>
      <w:proofErr w:type="spellEnd"/>
      <w:r w:rsidR="003F5710" w:rsidRPr="00925951">
        <w:rPr>
          <w:rFonts w:ascii="Times New Roman" w:hAnsi="Times New Roman"/>
          <w:i/>
          <w:lang w:val="en-GB"/>
        </w:rPr>
        <w:t xml:space="preserve"> </w:t>
      </w:r>
      <w:proofErr w:type="spellStart"/>
      <w:r w:rsidR="003F5710" w:rsidRPr="00925951">
        <w:rPr>
          <w:rFonts w:ascii="Times New Roman" w:hAnsi="Times New Roman"/>
          <w:i/>
          <w:lang w:val="en-GB"/>
        </w:rPr>
        <w:lastRenderedPageBreak/>
        <w:t>sovremennoi</w:t>
      </w:r>
      <w:proofErr w:type="spellEnd"/>
      <w:r w:rsidR="003F5710" w:rsidRPr="00925951">
        <w:rPr>
          <w:rFonts w:ascii="Times New Roman" w:hAnsi="Times New Roman"/>
          <w:i/>
          <w:lang w:val="en-GB"/>
        </w:rPr>
        <w:t xml:space="preserve"> </w:t>
      </w:r>
      <w:proofErr w:type="spellStart"/>
      <w:r w:rsidR="003F5710" w:rsidRPr="00925951">
        <w:rPr>
          <w:rFonts w:ascii="Times New Roman" w:hAnsi="Times New Roman"/>
          <w:i/>
          <w:lang w:val="en-GB"/>
        </w:rPr>
        <w:t>pediatrii</w:t>
      </w:r>
      <w:proofErr w:type="spellEnd"/>
      <w:r w:rsidR="003F5710" w:rsidRPr="00925951">
        <w:rPr>
          <w:rFonts w:ascii="Times New Roman" w:hAnsi="Times New Roman"/>
          <w:i/>
          <w:lang w:val="en-GB"/>
        </w:rPr>
        <w:t xml:space="preserve"> — Current </w:t>
      </w:r>
      <w:proofErr w:type="spellStart"/>
      <w:r w:rsidR="003F5710" w:rsidRPr="00925951">
        <w:rPr>
          <w:rFonts w:ascii="Times New Roman" w:hAnsi="Times New Roman"/>
          <w:i/>
          <w:lang w:val="en-GB"/>
        </w:rPr>
        <w:t>Pediatrics</w:t>
      </w:r>
      <w:proofErr w:type="spellEnd"/>
      <w:r w:rsidR="003F5710" w:rsidRPr="002807C7">
        <w:rPr>
          <w:rFonts w:ascii="Times New Roman" w:hAnsi="Times New Roman"/>
          <w:lang w:val="en-GB"/>
        </w:rPr>
        <w:t xml:space="preserve">. </w:t>
      </w:r>
      <w:r w:rsidR="00925951" w:rsidRPr="00925951">
        <w:rPr>
          <w:rFonts w:ascii="Times New Roman" w:hAnsi="Times New Roman" w:cs="Times New Roman"/>
          <w:lang w:val="en-US"/>
        </w:rPr>
        <w:t xml:space="preserve">2019; 18 (1): 31–40. </w:t>
      </w:r>
      <w:proofErr w:type="spellStart"/>
      <w:r w:rsidR="00925951" w:rsidRPr="00925951">
        <w:rPr>
          <w:rFonts w:ascii="Times New Roman" w:hAnsi="Times New Roman" w:cs="Times New Roman"/>
          <w:lang w:val="en-US"/>
        </w:rPr>
        <w:t>doi</w:t>
      </w:r>
      <w:proofErr w:type="spellEnd"/>
      <w:r w:rsidR="00925951" w:rsidRPr="00925951">
        <w:rPr>
          <w:rFonts w:ascii="Times New Roman" w:hAnsi="Times New Roman" w:cs="Times New Roman"/>
          <w:lang w:val="en-US"/>
        </w:rPr>
        <w:t>: 10.15690/</w:t>
      </w:r>
      <w:proofErr w:type="gramStart"/>
      <w:r w:rsidR="00925951" w:rsidRPr="00925951">
        <w:rPr>
          <w:rFonts w:ascii="Times New Roman" w:hAnsi="Times New Roman" w:cs="Times New Roman"/>
          <w:lang w:val="en-US"/>
        </w:rPr>
        <w:t>vsp.v</w:t>
      </w:r>
      <w:proofErr w:type="gramEnd"/>
      <w:r w:rsidR="00925951" w:rsidRPr="00925951">
        <w:rPr>
          <w:rFonts w:ascii="Times New Roman" w:hAnsi="Times New Roman" w:cs="Times New Roman"/>
          <w:lang w:val="en-US"/>
        </w:rPr>
        <w:t>19i1.1989</w:t>
      </w:r>
      <w:r w:rsidR="00964C0B" w:rsidRPr="00925951">
        <w:rPr>
          <w:rFonts w:ascii="Times New Roman" w:hAnsi="Times New Roman" w:cs="Times New Roman"/>
          <w:lang w:val="en-GB"/>
        </w:rPr>
        <w:t>)</w:t>
      </w:r>
    </w:p>
    <w:p w14:paraId="39660F0B" w14:textId="77777777" w:rsidR="00CC3C4D" w:rsidRPr="002807C7" w:rsidRDefault="00CC3C4D" w:rsidP="002F207C">
      <w:pPr>
        <w:jc w:val="both"/>
        <w:rPr>
          <w:rFonts w:ascii="Times New Roman" w:hAnsi="Times New Roman" w:cs="Times New Roman"/>
          <w:lang w:val="en-GB"/>
        </w:rPr>
      </w:pPr>
    </w:p>
    <w:p w14:paraId="357B15A5" w14:textId="3765E0BD" w:rsidR="00187E75" w:rsidRPr="002807C7" w:rsidRDefault="00B95A5F" w:rsidP="002F207C">
      <w:pPr>
        <w:jc w:val="both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/>
          <w:lang w:val="en-GB"/>
        </w:rPr>
        <w:t>RESULTS</w:t>
      </w:r>
    </w:p>
    <w:p w14:paraId="39B53EB0" w14:textId="77777777" w:rsidR="007B4069" w:rsidRPr="002807C7" w:rsidRDefault="007B4069" w:rsidP="002F207C">
      <w:pPr>
        <w:jc w:val="both"/>
        <w:rPr>
          <w:rFonts w:ascii="Times New Roman" w:hAnsi="Times New Roman" w:cs="Times New Roman"/>
          <w:lang w:val="en-GB"/>
        </w:rPr>
      </w:pPr>
    </w:p>
    <w:p w14:paraId="22D24115" w14:textId="3BE39560" w:rsidR="007B280D" w:rsidRPr="002807C7" w:rsidRDefault="00D268E0" w:rsidP="002F207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Table</w:t>
      </w:r>
      <w:r w:rsidRPr="004A5E2D">
        <w:rPr>
          <w:rFonts w:ascii="Times New Roman" w:hAnsi="Times New Roman" w:cs="Times New Roman"/>
          <w:b/>
          <w:lang w:val="en-US"/>
        </w:rPr>
        <w:t> </w:t>
      </w:r>
      <w:r w:rsidR="007B280D" w:rsidRPr="00B95A5F">
        <w:rPr>
          <w:rFonts w:ascii="Times New Roman" w:hAnsi="Times New Roman" w:cs="Times New Roman"/>
          <w:b/>
          <w:lang w:val="en-GB"/>
        </w:rPr>
        <w:t>1</w:t>
      </w:r>
      <w:r w:rsidR="007B280D" w:rsidRPr="002807C7">
        <w:rPr>
          <w:rFonts w:ascii="Times New Roman" w:hAnsi="Times New Roman" w:cs="Times New Roman"/>
          <w:lang w:val="en-GB"/>
        </w:rPr>
        <w:t xml:space="preserve">. Predictors of outcomes after therapy with </w:t>
      </w:r>
      <w:r w:rsidR="00895AD4" w:rsidRPr="002807C7">
        <w:rPr>
          <w:rFonts w:ascii="Times New Roman" w:hAnsi="Times New Roman" w:cs="Times New Roman"/>
          <w:lang w:val="en-GB"/>
        </w:rPr>
        <w:t>Etanercept in earlier studies</w:t>
      </w:r>
    </w:p>
    <w:tbl>
      <w:tblPr>
        <w:tblStyle w:val="a5"/>
        <w:tblW w:w="10834" w:type="dxa"/>
        <w:tblInd w:w="-1239" w:type="dxa"/>
        <w:tblLayout w:type="fixed"/>
        <w:tblLook w:val="04A0" w:firstRow="1" w:lastRow="0" w:firstColumn="1" w:lastColumn="0" w:noHBand="0" w:noVBand="1"/>
      </w:tblPr>
      <w:tblGrid>
        <w:gridCol w:w="1120"/>
        <w:gridCol w:w="1112"/>
        <w:gridCol w:w="892"/>
        <w:gridCol w:w="1067"/>
        <w:gridCol w:w="701"/>
        <w:gridCol w:w="592"/>
        <w:gridCol w:w="968"/>
        <w:gridCol w:w="1124"/>
        <w:gridCol w:w="982"/>
        <w:gridCol w:w="1053"/>
        <w:gridCol w:w="1223"/>
      </w:tblGrid>
      <w:tr w:rsidR="002807C7" w:rsidRPr="002807C7" w14:paraId="588362F8" w14:textId="77777777" w:rsidTr="003666B1">
        <w:trPr>
          <w:trHeight w:val="773"/>
        </w:trPr>
        <w:tc>
          <w:tcPr>
            <w:tcW w:w="1120" w:type="dxa"/>
          </w:tcPr>
          <w:p w14:paraId="19370FEE" w14:textId="019EC944" w:rsidR="002807C7" w:rsidRPr="002807C7" w:rsidRDefault="003666B1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Parameters</w:t>
            </w:r>
          </w:p>
        </w:tc>
        <w:tc>
          <w:tcPr>
            <w:tcW w:w="1112" w:type="dxa"/>
          </w:tcPr>
          <w:p w14:paraId="706AD43B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 xml:space="preserve">G. </w:t>
            </w:r>
            <w:proofErr w:type="spellStart"/>
            <w:r w:rsidRPr="002807C7">
              <w:rPr>
                <w:b/>
                <w:sz w:val="16"/>
                <w:szCs w:val="16"/>
                <w:lang w:val="en-GB"/>
              </w:rPr>
              <w:t>Horneff</w:t>
            </w:r>
            <w:proofErr w:type="spellEnd"/>
            <w:r w:rsidRPr="002807C7">
              <w:rPr>
                <w:b/>
                <w:sz w:val="16"/>
                <w:szCs w:val="16"/>
                <w:lang w:val="en-GB"/>
              </w:rPr>
              <w:t xml:space="preserve"> [13]</w:t>
            </w:r>
          </w:p>
        </w:tc>
        <w:tc>
          <w:tcPr>
            <w:tcW w:w="892" w:type="dxa"/>
          </w:tcPr>
          <w:p w14:paraId="4D5CD32B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 xml:space="preserve">M. </w:t>
            </w:r>
            <w:proofErr w:type="spellStart"/>
            <w:r w:rsidRPr="002807C7">
              <w:rPr>
                <w:b/>
                <w:sz w:val="16"/>
                <w:szCs w:val="16"/>
                <w:lang w:val="en-GB"/>
              </w:rPr>
              <w:t>Otten</w:t>
            </w:r>
            <w:proofErr w:type="spellEnd"/>
            <w:r w:rsidRPr="002807C7">
              <w:rPr>
                <w:b/>
                <w:sz w:val="16"/>
                <w:szCs w:val="16"/>
                <w:lang w:val="en-GB"/>
              </w:rPr>
              <w:t xml:space="preserve"> [10]</w:t>
            </w:r>
          </w:p>
        </w:tc>
        <w:tc>
          <w:tcPr>
            <w:tcW w:w="1067" w:type="dxa"/>
          </w:tcPr>
          <w:p w14:paraId="7D1DFCA6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 xml:space="preserve">N. </w:t>
            </w:r>
            <w:proofErr w:type="spellStart"/>
            <w:r w:rsidRPr="002807C7">
              <w:rPr>
                <w:b/>
                <w:sz w:val="16"/>
                <w:szCs w:val="16"/>
                <w:lang w:val="en-GB"/>
              </w:rPr>
              <w:t>Solari</w:t>
            </w:r>
            <w:proofErr w:type="spellEnd"/>
            <w:r w:rsidRPr="002807C7">
              <w:rPr>
                <w:b/>
                <w:sz w:val="16"/>
                <w:szCs w:val="16"/>
                <w:lang w:val="en-GB"/>
              </w:rPr>
              <w:t xml:space="preserve"> [12]</w:t>
            </w:r>
          </w:p>
        </w:tc>
        <w:tc>
          <w:tcPr>
            <w:tcW w:w="701" w:type="dxa"/>
          </w:tcPr>
          <w:p w14:paraId="027258F4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 xml:space="preserve">T. </w:t>
            </w:r>
            <w:proofErr w:type="spellStart"/>
            <w:r w:rsidRPr="002807C7">
              <w:rPr>
                <w:b/>
                <w:sz w:val="16"/>
                <w:szCs w:val="16"/>
                <w:lang w:val="en-GB"/>
              </w:rPr>
              <w:t>Geikowski</w:t>
            </w:r>
            <w:proofErr w:type="spellEnd"/>
            <w:r w:rsidRPr="002807C7">
              <w:rPr>
                <w:b/>
                <w:sz w:val="16"/>
                <w:szCs w:val="16"/>
                <w:lang w:val="en-GB"/>
              </w:rPr>
              <w:t xml:space="preserve"> [9]</w:t>
            </w:r>
          </w:p>
        </w:tc>
        <w:tc>
          <w:tcPr>
            <w:tcW w:w="1560" w:type="dxa"/>
            <w:gridSpan w:val="2"/>
          </w:tcPr>
          <w:p w14:paraId="77CB4ACD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 xml:space="preserve">L. </w:t>
            </w:r>
            <w:proofErr w:type="spellStart"/>
            <w:r w:rsidRPr="002807C7">
              <w:rPr>
                <w:b/>
                <w:sz w:val="16"/>
                <w:szCs w:val="16"/>
                <w:lang w:val="en-GB"/>
              </w:rPr>
              <w:t>Kearsley</w:t>
            </w:r>
            <w:proofErr w:type="spellEnd"/>
            <w:r w:rsidRPr="002807C7">
              <w:rPr>
                <w:b/>
                <w:sz w:val="16"/>
                <w:szCs w:val="16"/>
                <w:lang w:val="en-GB"/>
              </w:rPr>
              <w:t>-Fleet [15]</w:t>
            </w:r>
          </w:p>
          <w:p w14:paraId="4D018339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4E141013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 xml:space="preserve">E. </w:t>
            </w:r>
            <w:proofErr w:type="spellStart"/>
            <w:r w:rsidRPr="002807C7">
              <w:rPr>
                <w:b/>
                <w:sz w:val="16"/>
                <w:szCs w:val="16"/>
                <w:lang w:val="en-GB"/>
              </w:rPr>
              <w:t>Alexeeva</w:t>
            </w:r>
            <w:proofErr w:type="spellEnd"/>
            <w:r w:rsidRPr="002807C7">
              <w:rPr>
                <w:b/>
                <w:sz w:val="16"/>
                <w:szCs w:val="16"/>
                <w:lang w:val="en-GB"/>
              </w:rPr>
              <w:t xml:space="preserve"> [11]</w:t>
            </w:r>
          </w:p>
        </w:tc>
        <w:tc>
          <w:tcPr>
            <w:tcW w:w="982" w:type="dxa"/>
          </w:tcPr>
          <w:p w14:paraId="72B99818" w14:textId="09D8709B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 xml:space="preserve">M. </w:t>
            </w:r>
            <w:proofErr w:type="spellStart"/>
            <w:r w:rsidRPr="002807C7">
              <w:rPr>
                <w:b/>
                <w:sz w:val="16"/>
                <w:szCs w:val="16"/>
                <w:lang w:val="en-GB"/>
              </w:rPr>
              <w:t>Kostik</w:t>
            </w:r>
            <w:proofErr w:type="spellEnd"/>
            <w:r w:rsidRPr="002807C7">
              <w:rPr>
                <w:b/>
                <w:sz w:val="16"/>
                <w:szCs w:val="16"/>
                <w:lang w:val="en-GB"/>
              </w:rPr>
              <w:t xml:space="preserve"> [4]</w:t>
            </w:r>
          </w:p>
        </w:tc>
        <w:tc>
          <w:tcPr>
            <w:tcW w:w="1053" w:type="dxa"/>
          </w:tcPr>
          <w:p w14:paraId="550CBFD6" w14:textId="77777777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>Y. Su [14]</w:t>
            </w:r>
          </w:p>
        </w:tc>
        <w:tc>
          <w:tcPr>
            <w:tcW w:w="1223" w:type="dxa"/>
          </w:tcPr>
          <w:p w14:paraId="65285CF7" w14:textId="5CA6D4A5" w:rsidR="002807C7" w:rsidRPr="002807C7" w:rsidRDefault="002807C7" w:rsidP="002807C7">
            <w:pPr>
              <w:ind w:right="-46"/>
              <w:jc w:val="center"/>
              <w:rPr>
                <w:b/>
                <w:sz w:val="16"/>
                <w:szCs w:val="16"/>
                <w:lang w:val="en-GB"/>
              </w:rPr>
            </w:pPr>
            <w:r w:rsidRPr="002807C7">
              <w:rPr>
                <w:b/>
                <w:sz w:val="16"/>
                <w:szCs w:val="16"/>
                <w:lang w:val="en-GB"/>
              </w:rPr>
              <w:t>Present study</w:t>
            </w:r>
          </w:p>
        </w:tc>
      </w:tr>
      <w:tr w:rsidR="002807C7" w:rsidRPr="002807C7" w14:paraId="17661A51" w14:textId="77777777" w:rsidTr="002807C7">
        <w:trPr>
          <w:trHeight w:val="230"/>
        </w:trPr>
        <w:tc>
          <w:tcPr>
            <w:tcW w:w="1120" w:type="dxa"/>
            <w:shd w:val="clear" w:color="auto" w:fill="F2F2F2"/>
          </w:tcPr>
          <w:p w14:paraId="4378ABDF" w14:textId="0B5CF9C2" w:rsidR="002807C7" w:rsidRPr="002807C7" w:rsidRDefault="003666B1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</w:t>
            </w:r>
            <w:r w:rsidRPr="003666B1">
              <w:rPr>
                <w:sz w:val="16"/>
                <w:szCs w:val="16"/>
                <w:lang w:val="en-GB"/>
              </w:rPr>
              <w:t>umber of patients</w:t>
            </w:r>
          </w:p>
        </w:tc>
        <w:tc>
          <w:tcPr>
            <w:tcW w:w="1112" w:type="dxa"/>
          </w:tcPr>
          <w:p w14:paraId="07665372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rFonts w:eastAsia="Calibri"/>
                <w:sz w:val="16"/>
                <w:szCs w:val="16"/>
                <w:lang w:val="en-GB"/>
              </w:rPr>
              <w:t>787</w:t>
            </w:r>
          </w:p>
        </w:tc>
        <w:tc>
          <w:tcPr>
            <w:tcW w:w="892" w:type="dxa"/>
          </w:tcPr>
          <w:p w14:paraId="7B9BF030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262</w:t>
            </w:r>
          </w:p>
        </w:tc>
        <w:tc>
          <w:tcPr>
            <w:tcW w:w="1067" w:type="dxa"/>
          </w:tcPr>
          <w:p w14:paraId="285A4EFC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173</w:t>
            </w:r>
          </w:p>
        </w:tc>
        <w:tc>
          <w:tcPr>
            <w:tcW w:w="701" w:type="dxa"/>
          </w:tcPr>
          <w:p w14:paraId="2B94E29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863</w:t>
            </w:r>
          </w:p>
        </w:tc>
        <w:tc>
          <w:tcPr>
            <w:tcW w:w="1560" w:type="dxa"/>
            <w:gridSpan w:val="2"/>
          </w:tcPr>
          <w:p w14:paraId="09C60B9C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496</w:t>
            </w:r>
          </w:p>
        </w:tc>
        <w:tc>
          <w:tcPr>
            <w:tcW w:w="1124" w:type="dxa"/>
          </w:tcPr>
          <w:p w14:paraId="0DB81519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197</w:t>
            </w:r>
          </w:p>
        </w:tc>
        <w:tc>
          <w:tcPr>
            <w:tcW w:w="982" w:type="dxa"/>
          </w:tcPr>
          <w:p w14:paraId="6A0E271D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152</w:t>
            </w:r>
          </w:p>
        </w:tc>
        <w:tc>
          <w:tcPr>
            <w:tcW w:w="1053" w:type="dxa"/>
          </w:tcPr>
          <w:p w14:paraId="3BFF64DE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58</w:t>
            </w:r>
          </w:p>
        </w:tc>
        <w:tc>
          <w:tcPr>
            <w:tcW w:w="1223" w:type="dxa"/>
          </w:tcPr>
          <w:p w14:paraId="4FCD709D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197</w:t>
            </w:r>
          </w:p>
        </w:tc>
      </w:tr>
      <w:tr w:rsidR="002807C7" w:rsidRPr="002807C7" w14:paraId="4ADC4112" w14:textId="77777777" w:rsidTr="002807C7">
        <w:trPr>
          <w:trHeight w:val="230"/>
        </w:trPr>
        <w:tc>
          <w:tcPr>
            <w:tcW w:w="1120" w:type="dxa"/>
            <w:shd w:val="clear" w:color="auto" w:fill="F2F2F2"/>
          </w:tcPr>
          <w:p w14:paraId="430C62C0" w14:textId="64A52E43" w:rsidR="002807C7" w:rsidRPr="002807C7" w:rsidRDefault="003666B1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Duration of the study</w:t>
            </w:r>
          </w:p>
        </w:tc>
        <w:tc>
          <w:tcPr>
            <w:tcW w:w="1112" w:type="dxa"/>
          </w:tcPr>
          <w:p w14:paraId="4D354AF9" w14:textId="0E3529A3" w:rsidR="002807C7" w:rsidRPr="002807C7" w:rsidRDefault="002807C7" w:rsidP="003666B1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12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892" w:type="dxa"/>
          </w:tcPr>
          <w:p w14:paraId="108A0987" w14:textId="76D3BB13" w:rsidR="002807C7" w:rsidRPr="002807C7" w:rsidRDefault="002807C7" w:rsidP="003666B1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15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1067" w:type="dxa"/>
          </w:tcPr>
          <w:p w14:paraId="1A9C3612" w14:textId="6C7DC3BE" w:rsidR="002807C7" w:rsidRPr="002807C7" w:rsidRDefault="002807C7" w:rsidP="003666B1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12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701" w:type="dxa"/>
          </w:tcPr>
          <w:p w14:paraId="75D30297" w14:textId="3FA78A0F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6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1560" w:type="dxa"/>
            <w:gridSpan w:val="2"/>
          </w:tcPr>
          <w:p w14:paraId="3B174195" w14:textId="509D21B3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12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1124" w:type="dxa"/>
          </w:tcPr>
          <w:p w14:paraId="063BCC2C" w14:textId="46E72650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12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982" w:type="dxa"/>
          </w:tcPr>
          <w:p w14:paraId="3F145BB2" w14:textId="50335BB3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6–36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1053" w:type="dxa"/>
          </w:tcPr>
          <w:p w14:paraId="0B0E9FD9" w14:textId="2622087C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12–136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  <w:tc>
          <w:tcPr>
            <w:tcW w:w="1223" w:type="dxa"/>
          </w:tcPr>
          <w:p w14:paraId="4B16F5B0" w14:textId="22FF3428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12 </w:t>
            </w:r>
            <w:proofErr w:type="spellStart"/>
            <w:r w:rsidR="003666B1">
              <w:rPr>
                <w:sz w:val="16"/>
                <w:szCs w:val="16"/>
                <w:lang w:val="en-GB"/>
              </w:rPr>
              <w:t>mos</w:t>
            </w:r>
            <w:proofErr w:type="spellEnd"/>
          </w:p>
        </w:tc>
      </w:tr>
      <w:tr w:rsidR="002807C7" w:rsidRPr="002807C7" w14:paraId="6B463B08" w14:textId="77777777" w:rsidTr="002807C7">
        <w:trPr>
          <w:trHeight w:val="230"/>
        </w:trPr>
        <w:tc>
          <w:tcPr>
            <w:tcW w:w="1120" w:type="dxa"/>
            <w:shd w:val="clear" w:color="auto" w:fill="F2F2F2"/>
          </w:tcPr>
          <w:p w14:paraId="7EB92B19" w14:textId="28009517" w:rsidR="002807C7" w:rsidRPr="002807C7" w:rsidRDefault="003666B1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Outcome</w:t>
            </w:r>
          </w:p>
        </w:tc>
        <w:tc>
          <w:tcPr>
            <w:tcW w:w="1112" w:type="dxa"/>
          </w:tcPr>
          <w:p w14:paraId="20B75CF0" w14:textId="5B0B1AD0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Inactive disease and remission</w:t>
            </w:r>
            <w:r w:rsidR="009348B5">
              <w:rPr>
                <w:sz w:val="16"/>
                <w:szCs w:val="16"/>
                <w:lang w:val="en-GB"/>
              </w:rPr>
              <w:t xml:space="preserve"> (</w:t>
            </w:r>
            <w:r w:rsidR="002807C7" w:rsidRPr="002807C7">
              <w:rPr>
                <w:sz w:val="16"/>
                <w:szCs w:val="16"/>
                <w:lang w:val="en-GB"/>
              </w:rPr>
              <w:t>Wallace)</w:t>
            </w:r>
          </w:p>
        </w:tc>
        <w:tc>
          <w:tcPr>
            <w:tcW w:w="892" w:type="dxa"/>
          </w:tcPr>
          <w:p w14:paraId="35752A98" w14:textId="1ACF2D68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Inactive disease </w:t>
            </w:r>
            <w:r w:rsidR="009348B5">
              <w:rPr>
                <w:sz w:val="16"/>
                <w:szCs w:val="16"/>
                <w:lang w:val="en-GB"/>
              </w:rPr>
              <w:t>(</w:t>
            </w:r>
            <w:r w:rsidR="002807C7" w:rsidRPr="002807C7">
              <w:rPr>
                <w:sz w:val="16"/>
                <w:szCs w:val="16"/>
                <w:lang w:val="en-GB"/>
              </w:rPr>
              <w:t>Wallace)</w:t>
            </w:r>
          </w:p>
        </w:tc>
        <w:tc>
          <w:tcPr>
            <w:tcW w:w="1067" w:type="dxa"/>
          </w:tcPr>
          <w:p w14:paraId="6AEFE707" w14:textId="3C4A21D0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Inactive disease </w:t>
            </w:r>
            <w:r w:rsidR="009348B5">
              <w:rPr>
                <w:sz w:val="16"/>
                <w:szCs w:val="16"/>
                <w:lang w:val="en-GB"/>
              </w:rPr>
              <w:t>(</w:t>
            </w:r>
            <w:r w:rsidR="002807C7" w:rsidRPr="002807C7">
              <w:rPr>
                <w:sz w:val="16"/>
                <w:szCs w:val="16"/>
                <w:lang w:val="en-GB"/>
              </w:rPr>
              <w:t>Wallace)</w:t>
            </w:r>
          </w:p>
        </w:tc>
        <w:tc>
          <w:tcPr>
            <w:tcW w:w="701" w:type="dxa"/>
          </w:tcPr>
          <w:p w14:paraId="107EE145" w14:textId="010E9629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ACR</w:t>
            </w:r>
            <w:r w:rsidR="002807C7" w:rsidRPr="002807C7">
              <w:rPr>
                <w:sz w:val="16"/>
                <w:szCs w:val="16"/>
                <w:lang w:val="en-GB"/>
              </w:rPr>
              <w:t>70</w:t>
            </w:r>
          </w:p>
        </w:tc>
        <w:tc>
          <w:tcPr>
            <w:tcW w:w="592" w:type="dxa"/>
          </w:tcPr>
          <w:p w14:paraId="6E94D2EE" w14:textId="3FF60F08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ACR</w:t>
            </w:r>
            <w:r w:rsidR="002807C7" w:rsidRPr="002807C7">
              <w:rPr>
                <w:sz w:val="16"/>
                <w:szCs w:val="16"/>
                <w:lang w:val="en-GB"/>
              </w:rPr>
              <w:t>90</w:t>
            </w:r>
          </w:p>
        </w:tc>
        <w:tc>
          <w:tcPr>
            <w:tcW w:w="968" w:type="dxa"/>
          </w:tcPr>
          <w:p w14:paraId="5E6CDD82" w14:textId="695A1602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Minimal disease activity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(JADAS71)</w:t>
            </w:r>
          </w:p>
        </w:tc>
        <w:tc>
          <w:tcPr>
            <w:tcW w:w="1124" w:type="dxa"/>
          </w:tcPr>
          <w:p w14:paraId="117AB78B" w14:textId="2F807C96" w:rsidR="002807C7" w:rsidRPr="002807C7" w:rsidRDefault="002807C7" w:rsidP="00B558A8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АКР90 </w:t>
            </w:r>
            <w:r w:rsidR="00B558A8">
              <w:rPr>
                <w:sz w:val="16"/>
                <w:szCs w:val="16"/>
                <w:lang w:val="en-GB"/>
              </w:rPr>
              <w:t>and</w:t>
            </w:r>
            <w:r w:rsidRPr="002807C7">
              <w:rPr>
                <w:sz w:val="16"/>
                <w:szCs w:val="16"/>
                <w:lang w:val="en-GB"/>
              </w:rPr>
              <w:t xml:space="preserve"> </w:t>
            </w:r>
            <w:r w:rsidR="00B558A8">
              <w:rPr>
                <w:sz w:val="16"/>
                <w:szCs w:val="16"/>
                <w:lang w:val="en-GB"/>
              </w:rPr>
              <w:t xml:space="preserve">inactive disease </w:t>
            </w:r>
            <w:r w:rsidR="009348B5">
              <w:rPr>
                <w:sz w:val="16"/>
                <w:szCs w:val="16"/>
                <w:lang w:val="en-GB"/>
              </w:rPr>
              <w:t>(</w:t>
            </w:r>
            <w:r w:rsidRPr="002807C7">
              <w:rPr>
                <w:sz w:val="16"/>
                <w:szCs w:val="16"/>
                <w:lang w:val="en-GB"/>
              </w:rPr>
              <w:t>Wallace, JADAS71)</w:t>
            </w:r>
          </w:p>
        </w:tc>
        <w:tc>
          <w:tcPr>
            <w:tcW w:w="982" w:type="dxa"/>
          </w:tcPr>
          <w:p w14:paraId="2BE017E1" w14:textId="5FBDB219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Remission</w:t>
            </w:r>
            <w:r w:rsidR="009348B5">
              <w:rPr>
                <w:sz w:val="16"/>
                <w:szCs w:val="16"/>
                <w:lang w:val="en-GB"/>
              </w:rPr>
              <w:t xml:space="preserve"> (</w:t>
            </w:r>
            <w:r w:rsidR="002807C7" w:rsidRPr="002807C7">
              <w:rPr>
                <w:sz w:val="16"/>
                <w:szCs w:val="16"/>
                <w:lang w:val="en-GB"/>
              </w:rPr>
              <w:t>Wallace)</w:t>
            </w:r>
          </w:p>
        </w:tc>
        <w:tc>
          <w:tcPr>
            <w:tcW w:w="1053" w:type="dxa"/>
          </w:tcPr>
          <w:p w14:paraId="4F00D80C" w14:textId="6E1F1E06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Remission</w:t>
            </w:r>
            <w:r w:rsidR="009348B5">
              <w:rPr>
                <w:sz w:val="16"/>
                <w:szCs w:val="16"/>
                <w:lang w:val="en-GB"/>
              </w:rPr>
              <w:t xml:space="preserve"> (</w:t>
            </w:r>
            <w:r w:rsidR="002807C7" w:rsidRPr="002807C7">
              <w:rPr>
                <w:sz w:val="16"/>
                <w:szCs w:val="16"/>
                <w:lang w:val="en-GB"/>
              </w:rPr>
              <w:t>Wallace)</w:t>
            </w:r>
          </w:p>
        </w:tc>
        <w:tc>
          <w:tcPr>
            <w:tcW w:w="1223" w:type="dxa"/>
          </w:tcPr>
          <w:p w14:paraId="6E6D1EDF" w14:textId="4E347C21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Remission</w:t>
            </w:r>
            <w:r w:rsidR="009348B5">
              <w:rPr>
                <w:sz w:val="16"/>
                <w:szCs w:val="16"/>
                <w:lang w:val="en-GB"/>
              </w:rPr>
              <w:t xml:space="preserve"> (</w:t>
            </w:r>
            <w:r w:rsidR="002807C7" w:rsidRPr="002807C7">
              <w:rPr>
                <w:sz w:val="16"/>
                <w:szCs w:val="16"/>
                <w:lang w:val="en-GB"/>
              </w:rPr>
              <w:t>Wallace)</w:t>
            </w:r>
          </w:p>
        </w:tc>
      </w:tr>
      <w:tr w:rsidR="00D268E0" w:rsidRPr="002807C7" w14:paraId="51533B5C" w14:textId="77777777" w:rsidTr="003A472F">
        <w:trPr>
          <w:trHeight w:val="230"/>
        </w:trPr>
        <w:tc>
          <w:tcPr>
            <w:tcW w:w="10834" w:type="dxa"/>
            <w:gridSpan w:val="11"/>
            <w:shd w:val="clear" w:color="auto" w:fill="F2F2F2"/>
          </w:tcPr>
          <w:p w14:paraId="316380DC" w14:textId="145FEA3E" w:rsidR="00D268E0" w:rsidRPr="002807C7" w:rsidRDefault="00D268E0" w:rsidP="00D268E0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>
              <w:rPr>
                <w:b/>
                <w:i/>
                <w:sz w:val="16"/>
                <w:szCs w:val="16"/>
                <w:lang w:val="en-GB"/>
              </w:rPr>
              <w:t>Response predictors</w:t>
            </w:r>
          </w:p>
        </w:tc>
      </w:tr>
      <w:tr w:rsidR="002807C7" w:rsidRPr="002807C7" w14:paraId="4DDA12AE" w14:textId="77777777" w:rsidTr="002807C7">
        <w:trPr>
          <w:trHeight w:val="183"/>
        </w:trPr>
        <w:tc>
          <w:tcPr>
            <w:tcW w:w="1120" w:type="dxa"/>
            <w:shd w:val="clear" w:color="auto" w:fill="F2F2F2"/>
          </w:tcPr>
          <w:p w14:paraId="01190C92" w14:textId="154F7B2F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Low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CHAQ</w:t>
            </w:r>
          </w:p>
        </w:tc>
        <w:tc>
          <w:tcPr>
            <w:tcW w:w="1112" w:type="dxa"/>
          </w:tcPr>
          <w:p w14:paraId="3903EFD7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6714EACA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(&lt; 0,77)</w:t>
            </w:r>
          </w:p>
        </w:tc>
        <w:tc>
          <w:tcPr>
            <w:tcW w:w="892" w:type="dxa"/>
          </w:tcPr>
          <w:p w14:paraId="28802AF7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57FD0891" w14:textId="77777777" w:rsidR="002807C7" w:rsidRPr="002807C7" w:rsidRDefault="002807C7" w:rsidP="002807C7">
            <w:pPr>
              <w:numPr>
                <w:ilvl w:val="0"/>
                <w:numId w:val="8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213E7D6B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755E2412" w14:textId="77777777" w:rsidR="002807C7" w:rsidRPr="002807C7" w:rsidRDefault="002807C7" w:rsidP="002807C7">
            <w:pPr>
              <w:numPr>
                <w:ilvl w:val="0"/>
                <w:numId w:val="8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379ABB34" w14:textId="77777777" w:rsidR="002807C7" w:rsidRPr="002807C7" w:rsidRDefault="002807C7" w:rsidP="002807C7">
            <w:pPr>
              <w:numPr>
                <w:ilvl w:val="0"/>
                <w:numId w:val="8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460C8CB0" w14:textId="77777777" w:rsidR="002807C7" w:rsidRPr="002807C7" w:rsidRDefault="002807C7" w:rsidP="002807C7">
            <w:pPr>
              <w:numPr>
                <w:ilvl w:val="0"/>
                <w:numId w:val="8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6A7E0AC3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53" w:type="dxa"/>
          </w:tcPr>
          <w:p w14:paraId="006FB7FB" w14:textId="77777777" w:rsidR="002807C7" w:rsidRPr="002807C7" w:rsidRDefault="002807C7" w:rsidP="002807C7">
            <w:pPr>
              <w:numPr>
                <w:ilvl w:val="0"/>
                <w:numId w:val="17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58F1C331" w14:textId="77777777" w:rsidR="002807C7" w:rsidRPr="002807C7" w:rsidRDefault="002807C7" w:rsidP="002807C7">
            <w:pPr>
              <w:numPr>
                <w:ilvl w:val="0"/>
                <w:numId w:val="17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37EB1CEC" w14:textId="77777777" w:rsidTr="002807C7">
        <w:trPr>
          <w:trHeight w:val="758"/>
        </w:trPr>
        <w:tc>
          <w:tcPr>
            <w:tcW w:w="1120" w:type="dxa"/>
            <w:shd w:val="clear" w:color="auto" w:fill="F2F2F2"/>
          </w:tcPr>
          <w:p w14:paraId="420B8762" w14:textId="5776EDB4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Early age at the start of the therapy</w:t>
            </w:r>
          </w:p>
        </w:tc>
        <w:tc>
          <w:tcPr>
            <w:tcW w:w="1112" w:type="dxa"/>
          </w:tcPr>
          <w:p w14:paraId="4F55A333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92" w:type="dxa"/>
          </w:tcPr>
          <w:p w14:paraId="2362CB3F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201C030F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6DAE21C0" w14:textId="77777777" w:rsidR="002807C7" w:rsidRPr="002807C7" w:rsidRDefault="002807C7" w:rsidP="002807C7">
            <w:pPr>
              <w:numPr>
                <w:ilvl w:val="0"/>
                <w:numId w:val="3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4C51B1A5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7518DA2F" w14:textId="77777777" w:rsidR="002807C7" w:rsidRPr="002807C7" w:rsidRDefault="002807C7" w:rsidP="002807C7">
            <w:pPr>
              <w:numPr>
                <w:ilvl w:val="0"/>
                <w:numId w:val="3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557735B5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59544BAD" w14:textId="77777777" w:rsidR="002807C7" w:rsidRPr="002807C7" w:rsidRDefault="002807C7" w:rsidP="002807C7">
            <w:pPr>
              <w:numPr>
                <w:ilvl w:val="0"/>
                <w:numId w:val="3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11E80D68" w14:textId="7DAA3BDB" w:rsidR="002807C7" w:rsidRPr="002807C7" w:rsidRDefault="002807C7" w:rsidP="00B558A8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(&lt; 10 </w:t>
            </w:r>
            <w:proofErr w:type="spellStart"/>
            <w:r w:rsidR="00B558A8">
              <w:rPr>
                <w:sz w:val="16"/>
                <w:szCs w:val="16"/>
                <w:lang w:val="en-GB"/>
              </w:rPr>
              <w:t>yrs</w:t>
            </w:r>
            <w:proofErr w:type="spellEnd"/>
            <w:r w:rsidRPr="002807C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053" w:type="dxa"/>
          </w:tcPr>
          <w:p w14:paraId="0E57154B" w14:textId="77777777" w:rsidR="002807C7" w:rsidRPr="002807C7" w:rsidRDefault="002807C7" w:rsidP="002807C7">
            <w:pPr>
              <w:numPr>
                <w:ilvl w:val="0"/>
                <w:numId w:val="18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3DD88ECD" w14:textId="77777777" w:rsidR="002807C7" w:rsidRPr="002807C7" w:rsidRDefault="002807C7" w:rsidP="002807C7">
            <w:pPr>
              <w:numPr>
                <w:ilvl w:val="0"/>
                <w:numId w:val="18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5DF1DA02" w14:textId="77777777" w:rsidTr="00B52307">
        <w:trPr>
          <w:trHeight w:val="559"/>
        </w:trPr>
        <w:tc>
          <w:tcPr>
            <w:tcW w:w="1120" w:type="dxa"/>
            <w:shd w:val="clear" w:color="auto" w:fill="F2F2F2"/>
          </w:tcPr>
          <w:p w14:paraId="51C16A64" w14:textId="7818290C" w:rsidR="002807C7" w:rsidRPr="002807C7" w:rsidRDefault="00B558A8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Early </w:t>
            </w:r>
            <w:r w:rsidRPr="00B558A8">
              <w:rPr>
                <w:sz w:val="16"/>
                <w:szCs w:val="16"/>
                <w:lang w:val="en-GB"/>
              </w:rPr>
              <w:t>disease onset</w:t>
            </w:r>
          </w:p>
        </w:tc>
        <w:tc>
          <w:tcPr>
            <w:tcW w:w="1112" w:type="dxa"/>
          </w:tcPr>
          <w:p w14:paraId="041B644F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29E3E658" w14:textId="5A13C888" w:rsidR="002807C7" w:rsidRPr="002807C7" w:rsidRDefault="002807C7" w:rsidP="00B558A8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(&lt; 0,9 </w:t>
            </w:r>
            <w:proofErr w:type="spellStart"/>
            <w:r w:rsidR="00B558A8">
              <w:rPr>
                <w:sz w:val="16"/>
                <w:szCs w:val="16"/>
                <w:lang w:val="en-GB"/>
              </w:rPr>
              <w:t>yrs</w:t>
            </w:r>
            <w:proofErr w:type="spellEnd"/>
            <w:r w:rsidRPr="002807C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892" w:type="dxa"/>
          </w:tcPr>
          <w:p w14:paraId="270887ED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0D534D4B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4FC8E094" w14:textId="250DCA88" w:rsidR="002807C7" w:rsidRPr="002807C7" w:rsidRDefault="00B558A8" w:rsidP="00B558A8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(&lt; 3,6 </w:t>
            </w:r>
            <w:proofErr w:type="spellStart"/>
            <w:r>
              <w:rPr>
                <w:sz w:val="16"/>
                <w:szCs w:val="16"/>
                <w:lang w:val="en-GB"/>
              </w:rPr>
              <w:t>yrs</w:t>
            </w:r>
            <w:proofErr w:type="spellEnd"/>
            <w:r w:rsidR="002807C7" w:rsidRPr="002807C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701" w:type="dxa"/>
          </w:tcPr>
          <w:p w14:paraId="685C7FA8" w14:textId="77777777" w:rsidR="002807C7" w:rsidRPr="002807C7" w:rsidRDefault="002807C7" w:rsidP="002807C7">
            <w:pPr>
              <w:numPr>
                <w:ilvl w:val="0"/>
                <w:numId w:val="10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3F9A2D78" w14:textId="77777777" w:rsidR="002807C7" w:rsidRPr="002807C7" w:rsidRDefault="002807C7" w:rsidP="002807C7">
            <w:pPr>
              <w:numPr>
                <w:ilvl w:val="0"/>
                <w:numId w:val="10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18CF1B7B" w14:textId="77777777" w:rsidR="002807C7" w:rsidRPr="002807C7" w:rsidRDefault="002807C7" w:rsidP="002807C7">
            <w:pPr>
              <w:numPr>
                <w:ilvl w:val="0"/>
                <w:numId w:val="10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5C5DEAB7" w14:textId="77777777" w:rsidR="002807C7" w:rsidRPr="002807C7" w:rsidRDefault="002807C7" w:rsidP="002807C7">
            <w:pPr>
              <w:numPr>
                <w:ilvl w:val="0"/>
                <w:numId w:val="10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1A024EB1" w14:textId="77777777" w:rsidR="002807C7" w:rsidRPr="002807C7" w:rsidRDefault="002807C7" w:rsidP="002807C7">
            <w:pPr>
              <w:numPr>
                <w:ilvl w:val="0"/>
                <w:numId w:val="4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65919877" w14:textId="06C73347" w:rsidR="002807C7" w:rsidRPr="002807C7" w:rsidRDefault="002807C7" w:rsidP="00B558A8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(&lt; 8</w:t>
            </w:r>
            <w:r w:rsidR="00B558A8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B558A8">
              <w:rPr>
                <w:sz w:val="16"/>
                <w:szCs w:val="16"/>
                <w:lang w:val="en-GB"/>
              </w:rPr>
              <w:t>yrs</w:t>
            </w:r>
            <w:proofErr w:type="spellEnd"/>
            <w:r w:rsidRPr="002807C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053" w:type="dxa"/>
          </w:tcPr>
          <w:p w14:paraId="1D9307F7" w14:textId="77777777" w:rsidR="002807C7" w:rsidRPr="002807C7" w:rsidRDefault="002807C7" w:rsidP="002807C7">
            <w:pPr>
              <w:numPr>
                <w:ilvl w:val="0"/>
                <w:numId w:val="19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2CA55670" w14:textId="77777777" w:rsidR="002807C7" w:rsidRPr="002807C7" w:rsidRDefault="002807C7" w:rsidP="002807C7">
            <w:pPr>
              <w:numPr>
                <w:ilvl w:val="0"/>
                <w:numId w:val="19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4A5E2D" w14:paraId="376FC8D8" w14:textId="77777777" w:rsidTr="002807C7">
        <w:trPr>
          <w:trHeight w:val="585"/>
        </w:trPr>
        <w:tc>
          <w:tcPr>
            <w:tcW w:w="1120" w:type="dxa"/>
            <w:shd w:val="clear" w:color="auto" w:fill="F2F2F2"/>
          </w:tcPr>
          <w:p w14:paraId="224557F8" w14:textId="35D9DC8D" w:rsidR="002807C7" w:rsidRPr="002807C7" w:rsidRDefault="00FA405E" w:rsidP="00FA405E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Little number of</w:t>
            </w:r>
            <w:r w:rsidRPr="00925951">
              <w:rPr>
                <w:lang w:val="en-US"/>
              </w:rPr>
              <w:t xml:space="preserve"> </w:t>
            </w:r>
            <w:r w:rsidRPr="00FA405E">
              <w:rPr>
                <w:sz w:val="16"/>
                <w:szCs w:val="16"/>
                <w:lang w:val="en-GB"/>
              </w:rPr>
              <w:t>DMARD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in anamnesis</w:t>
            </w:r>
          </w:p>
        </w:tc>
        <w:tc>
          <w:tcPr>
            <w:tcW w:w="1112" w:type="dxa"/>
          </w:tcPr>
          <w:p w14:paraId="594C8562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92" w:type="dxa"/>
          </w:tcPr>
          <w:p w14:paraId="67A5D498" w14:textId="77777777" w:rsidR="002807C7" w:rsidRPr="002807C7" w:rsidRDefault="002807C7" w:rsidP="002807C7">
            <w:pPr>
              <w:numPr>
                <w:ilvl w:val="0"/>
                <w:numId w:val="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5FD9BCCF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3F2D3920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44F557FE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133D7D2C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38F7C8EB" w14:textId="77777777" w:rsidR="002807C7" w:rsidRPr="002807C7" w:rsidRDefault="002807C7" w:rsidP="002807C7">
            <w:pPr>
              <w:numPr>
                <w:ilvl w:val="0"/>
                <w:numId w:val="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14E3A13C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53" w:type="dxa"/>
          </w:tcPr>
          <w:p w14:paraId="7BAD47AC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41A37943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0D83719F" w14:textId="77777777" w:rsidTr="002807C7">
        <w:trPr>
          <w:trHeight w:val="573"/>
        </w:trPr>
        <w:tc>
          <w:tcPr>
            <w:tcW w:w="1120" w:type="dxa"/>
            <w:shd w:val="clear" w:color="auto" w:fill="F2F2F2"/>
          </w:tcPr>
          <w:p w14:paraId="5678E793" w14:textId="749B08EB" w:rsidR="002807C7" w:rsidRPr="002807C7" w:rsidRDefault="009E1036" w:rsidP="00256523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US"/>
              </w:rPr>
              <w:t>Absence</w:t>
            </w:r>
            <w:r w:rsidR="00256523">
              <w:rPr>
                <w:sz w:val="16"/>
                <w:szCs w:val="16"/>
                <w:lang w:val="en-GB"/>
              </w:rPr>
              <w:t xml:space="preserve"> of </w:t>
            </w:r>
            <w:r w:rsidR="00256523" w:rsidRPr="00256523">
              <w:rPr>
                <w:sz w:val="16"/>
                <w:szCs w:val="16"/>
                <w:lang w:val="en-GB"/>
              </w:rPr>
              <w:t>concomitant treatment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</w:t>
            </w:r>
            <w:r w:rsidR="00256523">
              <w:rPr>
                <w:sz w:val="16"/>
                <w:szCs w:val="16"/>
                <w:lang w:val="en-GB"/>
              </w:rPr>
              <w:t>with GKS</w:t>
            </w:r>
          </w:p>
        </w:tc>
        <w:tc>
          <w:tcPr>
            <w:tcW w:w="1112" w:type="dxa"/>
          </w:tcPr>
          <w:p w14:paraId="7758DBD3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92" w:type="dxa"/>
          </w:tcPr>
          <w:p w14:paraId="26F61D4C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4ACEB8F6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779A92BA" w14:textId="77777777" w:rsidR="002807C7" w:rsidRPr="002807C7" w:rsidRDefault="002807C7" w:rsidP="002807C7">
            <w:pPr>
              <w:numPr>
                <w:ilvl w:val="0"/>
                <w:numId w:val="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7FFBCFD8" w14:textId="77777777" w:rsidR="002807C7" w:rsidRPr="002807C7" w:rsidRDefault="002807C7" w:rsidP="002807C7">
            <w:pPr>
              <w:numPr>
                <w:ilvl w:val="0"/>
                <w:numId w:val="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7A618F6C" w14:textId="77777777" w:rsidR="002807C7" w:rsidRPr="002807C7" w:rsidRDefault="002807C7" w:rsidP="002807C7">
            <w:pPr>
              <w:numPr>
                <w:ilvl w:val="0"/>
                <w:numId w:val="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0BC8091D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14126026" w14:textId="77777777" w:rsidR="002807C7" w:rsidRPr="002807C7" w:rsidRDefault="002807C7" w:rsidP="002807C7">
            <w:pPr>
              <w:numPr>
                <w:ilvl w:val="0"/>
                <w:numId w:val="13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53" w:type="dxa"/>
          </w:tcPr>
          <w:p w14:paraId="1FFF57A4" w14:textId="77777777" w:rsidR="002807C7" w:rsidRPr="002807C7" w:rsidRDefault="002807C7" w:rsidP="002807C7">
            <w:pPr>
              <w:numPr>
                <w:ilvl w:val="0"/>
                <w:numId w:val="13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21D1ED25" w14:textId="77777777" w:rsidR="002807C7" w:rsidRPr="002807C7" w:rsidRDefault="002807C7" w:rsidP="002807C7">
            <w:pPr>
              <w:numPr>
                <w:ilvl w:val="0"/>
                <w:numId w:val="13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0B17F6D6" w14:textId="77777777" w:rsidTr="00B52307">
        <w:trPr>
          <w:trHeight w:val="703"/>
        </w:trPr>
        <w:tc>
          <w:tcPr>
            <w:tcW w:w="1120" w:type="dxa"/>
            <w:shd w:val="clear" w:color="auto" w:fill="F2F2F2"/>
          </w:tcPr>
          <w:p w14:paraId="06AA97B0" w14:textId="71FAEBCA" w:rsidR="002807C7" w:rsidRPr="002807C7" w:rsidRDefault="00B52307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Lower count of joints with 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</w:t>
            </w:r>
            <w:r w:rsidRPr="00B52307">
              <w:rPr>
                <w:sz w:val="16"/>
                <w:szCs w:val="16"/>
                <w:lang w:val="en-GB"/>
              </w:rPr>
              <w:t>active arthritis</w:t>
            </w:r>
          </w:p>
        </w:tc>
        <w:tc>
          <w:tcPr>
            <w:tcW w:w="1112" w:type="dxa"/>
          </w:tcPr>
          <w:p w14:paraId="5989F3E2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1C5E00BE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(≤ 1)</w:t>
            </w:r>
          </w:p>
        </w:tc>
        <w:tc>
          <w:tcPr>
            <w:tcW w:w="892" w:type="dxa"/>
          </w:tcPr>
          <w:p w14:paraId="5D4F321E" w14:textId="77777777" w:rsidR="002807C7" w:rsidRPr="002807C7" w:rsidRDefault="002807C7" w:rsidP="002807C7">
            <w:pPr>
              <w:numPr>
                <w:ilvl w:val="0"/>
                <w:numId w:val="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42429279" w14:textId="77777777" w:rsidR="002807C7" w:rsidRPr="002807C7" w:rsidRDefault="002807C7" w:rsidP="002807C7">
            <w:pPr>
              <w:numPr>
                <w:ilvl w:val="0"/>
                <w:numId w:val="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0EFA032D" w14:textId="77777777" w:rsidR="002807C7" w:rsidRPr="002807C7" w:rsidRDefault="002807C7" w:rsidP="002807C7">
            <w:pPr>
              <w:numPr>
                <w:ilvl w:val="0"/>
                <w:numId w:val="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2858994F" w14:textId="77777777" w:rsidR="002807C7" w:rsidRPr="002807C7" w:rsidRDefault="002807C7" w:rsidP="002807C7">
            <w:pPr>
              <w:numPr>
                <w:ilvl w:val="0"/>
                <w:numId w:val="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69FE3BDF" w14:textId="77777777" w:rsidR="002807C7" w:rsidRPr="002807C7" w:rsidRDefault="002807C7" w:rsidP="002807C7">
            <w:pPr>
              <w:numPr>
                <w:ilvl w:val="0"/>
                <w:numId w:val="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594BC17D" w14:textId="77777777" w:rsidR="002807C7" w:rsidRPr="002807C7" w:rsidRDefault="002807C7" w:rsidP="002807C7">
            <w:pPr>
              <w:numPr>
                <w:ilvl w:val="0"/>
                <w:numId w:val="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4A4AAC54" w14:textId="77777777" w:rsidR="002807C7" w:rsidRPr="002807C7" w:rsidRDefault="002807C7" w:rsidP="002807C7">
            <w:pPr>
              <w:numPr>
                <w:ilvl w:val="0"/>
                <w:numId w:val="14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53" w:type="dxa"/>
          </w:tcPr>
          <w:p w14:paraId="2DC1FD24" w14:textId="77777777" w:rsidR="002807C7" w:rsidRPr="002807C7" w:rsidRDefault="002807C7" w:rsidP="002807C7">
            <w:pPr>
              <w:numPr>
                <w:ilvl w:val="0"/>
                <w:numId w:val="14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061913C4" w14:textId="77777777" w:rsidR="002807C7" w:rsidRPr="002807C7" w:rsidRDefault="002807C7" w:rsidP="002807C7">
            <w:pPr>
              <w:numPr>
                <w:ilvl w:val="0"/>
                <w:numId w:val="14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386214E0" w14:textId="77777777" w:rsidTr="002807C7">
        <w:trPr>
          <w:trHeight w:val="768"/>
        </w:trPr>
        <w:tc>
          <w:tcPr>
            <w:tcW w:w="1120" w:type="dxa"/>
            <w:shd w:val="clear" w:color="auto" w:fill="F2F2F2"/>
          </w:tcPr>
          <w:p w14:paraId="31651ECC" w14:textId="411DABB1" w:rsidR="002807C7" w:rsidRPr="002807C7" w:rsidRDefault="00F24BE7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Lower count of joints with </w:t>
            </w:r>
            <w:r w:rsidRPr="002807C7">
              <w:rPr>
                <w:sz w:val="16"/>
                <w:szCs w:val="16"/>
                <w:lang w:val="en-GB"/>
              </w:rPr>
              <w:t xml:space="preserve"> </w:t>
            </w:r>
            <w:r w:rsidRPr="00F24BE7">
              <w:rPr>
                <w:sz w:val="16"/>
                <w:szCs w:val="16"/>
                <w:lang w:val="en-GB"/>
              </w:rPr>
              <w:t>motion decrease</w:t>
            </w:r>
          </w:p>
        </w:tc>
        <w:tc>
          <w:tcPr>
            <w:tcW w:w="1112" w:type="dxa"/>
          </w:tcPr>
          <w:p w14:paraId="0F5B54A6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92" w:type="dxa"/>
          </w:tcPr>
          <w:p w14:paraId="3DCB244B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353C2FBB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60FFF4A5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5659445E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39A0AF9A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647D7E89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3D6C3492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53" w:type="dxa"/>
          </w:tcPr>
          <w:p w14:paraId="7B29A6F8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223" w:type="dxa"/>
          </w:tcPr>
          <w:p w14:paraId="07F76172" w14:textId="77777777" w:rsidR="002807C7" w:rsidRPr="002807C7" w:rsidRDefault="002807C7" w:rsidP="002807C7">
            <w:pPr>
              <w:numPr>
                <w:ilvl w:val="0"/>
                <w:numId w:val="2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67D40079" w14:textId="77777777" w:rsidTr="00F24BE7">
        <w:trPr>
          <w:trHeight w:val="565"/>
        </w:trPr>
        <w:tc>
          <w:tcPr>
            <w:tcW w:w="1120" w:type="dxa"/>
            <w:shd w:val="clear" w:color="auto" w:fill="F2F2F2"/>
          </w:tcPr>
          <w:p w14:paraId="25C7B3A3" w14:textId="71D38FE1" w:rsidR="002807C7" w:rsidRPr="002807C7" w:rsidRDefault="00F24BE7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Lower count of</w:t>
            </w:r>
            <w:r w:rsidRPr="002807C7">
              <w:rPr>
                <w:sz w:val="16"/>
                <w:szCs w:val="16"/>
                <w:lang w:val="en-GB"/>
              </w:rPr>
              <w:t xml:space="preserve"> </w:t>
            </w:r>
            <w:r w:rsidRPr="00F24BE7">
              <w:rPr>
                <w:sz w:val="16"/>
                <w:szCs w:val="16"/>
                <w:lang w:val="en-GB"/>
              </w:rPr>
              <w:t>tender joint</w:t>
            </w:r>
          </w:p>
        </w:tc>
        <w:tc>
          <w:tcPr>
            <w:tcW w:w="1112" w:type="dxa"/>
          </w:tcPr>
          <w:p w14:paraId="79433B05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92" w:type="dxa"/>
          </w:tcPr>
          <w:p w14:paraId="233C219C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54E21BA3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014B1E60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39D8FA67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540B1DBB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49806BD8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5EB6204C" w14:textId="77777777" w:rsidR="002807C7" w:rsidRPr="002807C7" w:rsidRDefault="002807C7" w:rsidP="002807C7">
            <w:pPr>
              <w:numPr>
                <w:ilvl w:val="0"/>
                <w:numId w:val="1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53" w:type="dxa"/>
          </w:tcPr>
          <w:p w14:paraId="0C01F3DB" w14:textId="77777777" w:rsidR="002807C7" w:rsidRPr="002807C7" w:rsidRDefault="002807C7" w:rsidP="002807C7">
            <w:pPr>
              <w:ind w:left="720"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223" w:type="dxa"/>
          </w:tcPr>
          <w:p w14:paraId="282D73ED" w14:textId="77777777" w:rsidR="00B558A8" w:rsidRDefault="00B558A8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41F4CFC8" w14:textId="77777777" w:rsidR="002807C7" w:rsidRPr="002807C7" w:rsidRDefault="002807C7" w:rsidP="00B558A8">
            <w:pPr>
              <w:suppressAutoHyphens/>
              <w:spacing w:line="240" w:lineRule="exact"/>
              <w:ind w:left="360" w:right="-46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(≤ 4)</w:t>
            </w:r>
          </w:p>
        </w:tc>
      </w:tr>
      <w:tr w:rsidR="002807C7" w:rsidRPr="002807C7" w14:paraId="4874D39C" w14:textId="77777777" w:rsidTr="002807C7">
        <w:trPr>
          <w:trHeight w:val="768"/>
        </w:trPr>
        <w:tc>
          <w:tcPr>
            <w:tcW w:w="1120" w:type="dxa"/>
            <w:shd w:val="clear" w:color="auto" w:fill="F2F2F2"/>
          </w:tcPr>
          <w:p w14:paraId="4B231379" w14:textId="78CCDCFA" w:rsidR="002807C7" w:rsidRPr="002807C7" w:rsidRDefault="00E52082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No </w:t>
            </w:r>
            <w:r w:rsidRPr="00E52082">
              <w:rPr>
                <w:sz w:val="16"/>
                <w:szCs w:val="16"/>
                <w:lang w:val="en-GB"/>
              </w:rPr>
              <w:t>radiocarpal joint</w:t>
            </w:r>
            <w:r>
              <w:rPr>
                <w:sz w:val="16"/>
                <w:szCs w:val="16"/>
                <w:lang w:val="en-GB"/>
              </w:rPr>
              <w:t xml:space="preserve">s involvement </w:t>
            </w:r>
          </w:p>
        </w:tc>
        <w:tc>
          <w:tcPr>
            <w:tcW w:w="1112" w:type="dxa"/>
          </w:tcPr>
          <w:p w14:paraId="1BAEE9E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892" w:type="dxa"/>
          </w:tcPr>
          <w:p w14:paraId="2050917F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67" w:type="dxa"/>
          </w:tcPr>
          <w:p w14:paraId="4DEA86A8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393CCCD9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92" w:type="dxa"/>
          </w:tcPr>
          <w:p w14:paraId="6C8B774C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68" w:type="dxa"/>
          </w:tcPr>
          <w:p w14:paraId="3D6C8FFA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124" w:type="dxa"/>
          </w:tcPr>
          <w:p w14:paraId="08DC3CE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82" w:type="dxa"/>
          </w:tcPr>
          <w:p w14:paraId="0419C7B6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53" w:type="dxa"/>
          </w:tcPr>
          <w:p w14:paraId="6C0F3767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223" w:type="dxa"/>
          </w:tcPr>
          <w:p w14:paraId="1ECD63A8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</w:tr>
      <w:tr w:rsidR="002807C7" w:rsidRPr="002807C7" w14:paraId="510D86E1" w14:textId="77777777" w:rsidTr="00E52082">
        <w:trPr>
          <w:trHeight w:val="769"/>
        </w:trPr>
        <w:tc>
          <w:tcPr>
            <w:tcW w:w="1120" w:type="dxa"/>
            <w:shd w:val="clear" w:color="auto" w:fill="F2F2F2"/>
          </w:tcPr>
          <w:p w14:paraId="44E6EEA0" w14:textId="6FADA058" w:rsidR="002807C7" w:rsidRPr="002807C7" w:rsidRDefault="00E52082" w:rsidP="00E52082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</w:t>
            </w:r>
            <w:r w:rsidRPr="00E52082">
              <w:rPr>
                <w:sz w:val="16"/>
                <w:szCs w:val="16"/>
                <w:lang w:val="en-GB"/>
              </w:rPr>
              <w:t xml:space="preserve">maller duration of illness </w:t>
            </w:r>
            <w:r>
              <w:rPr>
                <w:sz w:val="16"/>
                <w:szCs w:val="16"/>
                <w:lang w:val="en-GB"/>
              </w:rPr>
              <w:t>before therapy start</w:t>
            </w:r>
          </w:p>
        </w:tc>
        <w:tc>
          <w:tcPr>
            <w:tcW w:w="1112" w:type="dxa"/>
          </w:tcPr>
          <w:p w14:paraId="6A5D39A1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1578B699" w14:textId="5B8AE8FD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(&lt; 0,9 </w:t>
            </w:r>
            <w:proofErr w:type="spellStart"/>
            <w:r w:rsidR="00B558A8">
              <w:rPr>
                <w:sz w:val="16"/>
                <w:szCs w:val="16"/>
                <w:lang w:val="en-GB"/>
              </w:rPr>
              <w:t>yrs</w:t>
            </w:r>
            <w:proofErr w:type="spellEnd"/>
            <w:r w:rsidRPr="002807C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892" w:type="dxa"/>
          </w:tcPr>
          <w:p w14:paraId="5301CEA4" w14:textId="77777777" w:rsidR="002807C7" w:rsidRPr="002807C7" w:rsidRDefault="002807C7" w:rsidP="002807C7">
            <w:pPr>
              <w:numPr>
                <w:ilvl w:val="0"/>
                <w:numId w:val="7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0761593A" w14:textId="77777777" w:rsidR="002807C7" w:rsidRPr="002807C7" w:rsidRDefault="002807C7" w:rsidP="002807C7">
            <w:pPr>
              <w:numPr>
                <w:ilvl w:val="0"/>
                <w:numId w:val="7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3CA8ABE9" w14:textId="77777777" w:rsidR="002807C7" w:rsidRPr="002807C7" w:rsidRDefault="002807C7" w:rsidP="002807C7">
            <w:pPr>
              <w:numPr>
                <w:ilvl w:val="0"/>
                <w:numId w:val="7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2DD7D912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4CAF4FB2" w14:textId="77777777" w:rsidR="002807C7" w:rsidRPr="002807C7" w:rsidRDefault="002807C7" w:rsidP="002807C7">
            <w:pPr>
              <w:numPr>
                <w:ilvl w:val="0"/>
                <w:numId w:val="7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7C91366D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69E200D6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1E46FAB8" w14:textId="0AF8B585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(&lt; 2,4 </w:t>
            </w:r>
            <w:proofErr w:type="spellStart"/>
            <w:r w:rsidR="00B558A8">
              <w:rPr>
                <w:sz w:val="16"/>
                <w:szCs w:val="16"/>
                <w:lang w:val="en-GB"/>
              </w:rPr>
              <w:t>yrs</w:t>
            </w:r>
            <w:proofErr w:type="spellEnd"/>
            <w:r w:rsidRPr="002807C7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053" w:type="dxa"/>
          </w:tcPr>
          <w:p w14:paraId="240D2AAE" w14:textId="77777777" w:rsidR="002807C7" w:rsidRPr="002807C7" w:rsidRDefault="002807C7" w:rsidP="002807C7">
            <w:pPr>
              <w:numPr>
                <w:ilvl w:val="0"/>
                <w:numId w:val="20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282B13C7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17A28679" w14:textId="153187A5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(&lt; 2 </w:t>
            </w:r>
            <w:proofErr w:type="spellStart"/>
            <w:r w:rsidR="00B558A8">
              <w:rPr>
                <w:sz w:val="16"/>
                <w:szCs w:val="16"/>
                <w:lang w:val="en-GB"/>
              </w:rPr>
              <w:t>yrs</w:t>
            </w:r>
            <w:proofErr w:type="spellEnd"/>
            <w:r w:rsidRPr="002807C7">
              <w:rPr>
                <w:sz w:val="16"/>
                <w:szCs w:val="16"/>
                <w:lang w:val="en-GB"/>
              </w:rPr>
              <w:t>)</w:t>
            </w:r>
          </w:p>
        </w:tc>
      </w:tr>
      <w:tr w:rsidR="002807C7" w:rsidRPr="002807C7" w14:paraId="6DA87BCE" w14:textId="77777777" w:rsidTr="002807C7">
        <w:trPr>
          <w:trHeight w:val="195"/>
        </w:trPr>
        <w:tc>
          <w:tcPr>
            <w:tcW w:w="1120" w:type="dxa"/>
            <w:shd w:val="clear" w:color="auto" w:fill="F2F2F2"/>
          </w:tcPr>
          <w:p w14:paraId="0EFC450D" w14:textId="07284123" w:rsidR="002807C7" w:rsidRPr="002807C7" w:rsidRDefault="00E52082" w:rsidP="00E52082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High ESR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12" w:type="dxa"/>
          </w:tcPr>
          <w:p w14:paraId="7EF1B8FE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92" w:type="dxa"/>
          </w:tcPr>
          <w:p w14:paraId="1A52EE19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7A84F870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5A3BEC34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47E1691F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2D8AA91F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3B86E274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40AA4DF6" w14:textId="77777777" w:rsidR="002807C7" w:rsidRPr="002807C7" w:rsidRDefault="002807C7" w:rsidP="002807C7">
            <w:pPr>
              <w:numPr>
                <w:ilvl w:val="0"/>
                <w:numId w:val="1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53" w:type="dxa"/>
          </w:tcPr>
          <w:p w14:paraId="607DBDB1" w14:textId="77777777" w:rsidR="002807C7" w:rsidRPr="002807C7" w:rsidRDefault="002807C7" w:rsidP="002807C7">
            <w:pPr>
              <w:numPr>
                <w:ilvl w:val="0"/>
                <w:numId w:val="1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52E31BA5" w14:textId="77777777" w:rsidR="002807C7" w:rsidRPr="002807C7" w:rsidRDefault="002807C7" w:rsidP="002807C7">
            <w:pPr>
              <w:numPr>
                <w:ilvl w:val="0"/>
                <w:numId w:val="16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519ABD1F" w14:textId="77777777" w:rsidTr="002807C7">
        <w:trPr>
          <w:trHeight w:val="378"/>
        </w:trPr>
        <w:tc>
          <w:tcPr>
            <w:tcW w:w="1120" w:type="dxa"/>
            <w:shd w:val="clear" w:color="auto" w:fill="F2F2F2"/>
          </w:tcPr>
          <w:p w14:paraId="73A27921" w14:textId="6F2307B9" w:rsidR="002807C7" w:rsidRPr="002807C7" w:rsidRDefault="00E52082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Uveitis</w:t>
            </w:r>
          </w:p>
        </w:tc>
        <w:tc>
          <w:tcPr>
            <w:tcW w:w="1112" w:type="dxa"/>
          </w:tcPr>
          <w:p w14:paraId="3B0DEB63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892" w:type="dxa"/>
          </w:tcPr>
          <w:p w14:paraId="200C0D4F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67" w:type="dxa"/>
          </w:tcPr>
          <w:p w14:paraId="09674919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701" w:type="dxa"/>
          </w:tcPr>
          <w:p w14:paraId="5A6BFCCD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92" w:type="dxa"/>
          </w:tcPr>
          <w:p w14:paraId="7BCE3191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30507380" w14:textId="77777777" w:rsidR="002807C7" w:rsidRPr="002807C7" w:rsidRDefault="002807C7" w:rsidP="002807C7">
            <w:pPr>
              <w:numPr>
                <w:ilvl w:val="0"/>
                <w:numId w:val="1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196BB7AA" w14:textId="77777777" w:rsidR="002807C7" w:rsidRPr="002807C7" w:rsidRDefault="002807C7" w:rsidP="002807C7">
            <w:pPr>
              <w:numPr>
                <w:ilvl w:val="0"/>
                <w:numId w:val="1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5471B725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53" w:type="dxa"/>
          </w:tcPr>
          <w:p w14:paraId="298BDDBC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223" w:type="dxa"/>
          </w:tcPr>
          <w:p w14:paraId="75C64039" w14:textId="77777777" w:rsidR="002807C7" w:rsidRPr="002807C7" w:rsidRDefault="002807C7" w:rsidP="002807C7">
            <w:pPr>
              <w:numPr>
                <w:ilvl w:val="0"/>
                <w:numId w:val="22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807C7" w:rsidRPr="002807C7" w14:paraId="124664EA" w14:textId="77777777" w:rsidTr="002807C7">
        <w:trPr>
          <w:trHeight w:val="195"/>
        </w:trPr>
        <w:tc>
          <w:tcPr>
            <w:tcW w:w="1120" w:type="dxa"/>
            <w:shd w:val="clear" w:color="auto" w:fill="F2F2F2"/>
          </w:tcPr>
          <w:p w14:paraId="38563630" w14:textId="77777777" w:rsidR="002807C7" w:rsidRPr="002807C7" w:rsidRDefault="002807C7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HLAB27</w:t>
            </w:r>
          </w:p>
        </w:tc>
        <w:tc>
          <w:tcPr>
            <w:tcW w:w="1112" w:type="dxa"/>
          </w:tcPr>
          <w:p w14:paraId="5E69A6CD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892" w:type="dxa"/>
          </w:tcPr>
          <w:p w14:paraId="1630FEBC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67" w:type="dxa"/>
          </w:tcPr>
          <w:p w14:paraId="70A93A3A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701" w:type="dxa"/>
          </w:tcPr>
          <w:p w14:paraId="272BAB4C" w14:textId="77777777" w:rsidR="002807C7" w:rsidRPr="002807C7" w:rsidRDefault="002807C7" w:rsidP="002807C7">
            <w:pPr>
              <w:numPr>
                <w:ilvl w:val="0"/>
                <w:numId w:val="9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51574F8F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68" w:type="dxa"/>
          </w:tcPr>
          <w:p w14:paraId="1D940FB2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124" w:type="dxa"/>
          </w:tcPr>
          <w:p w14:paraId="542AE4F9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82" w:type="dxa"/>
          </w:tcPr>
          <w:p w14:paraId="0C9EFEF9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53" w:type="dxa"/>
          </w:tcPr>
          <w:p w14:paraId="4AA85A1E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223" w:type="dxa"/>
          </w:tcPr>
          <w:p w14:paraId="37960B90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</w:tr>
      <w:tr w:rsidR="002807C7" w:rsidRPr="002807C7" w14:paraId="7D5384E1" w14:textId="77777777" w:rsidTr="002807C7">
        <w:trPr>
          <w:trHeight w:val="195"/>
        </w:trPr>
        <w:tc>
          <w:tcPr>
            <w:tcW w:w="1120" w:type="dxa"/>
            <w:shd w:val="clear" w:color="auto" w:fill="F2F2F2"/>
          </w:tcPr>
          <w:p w14:paraId="319A1111" w14:textId="06697B58" w:rsidR="002807C7" w:rsidRPr="002807C7" w:rsidRDefault="00E52082" w:rsidP="002807C7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Persistent </w:t>
            </w:r>
            <w:proofErr w:type="spellStart"/>
            <w:r>
              <w:rPr>
                <w:sz w:val="16"/>
                <w:szCs w:val="16"/>
                <w:lang w:val="en-GB"/>
              </w:rPr>
              <w:t>oligoarthritis</w:t>
            </w:r>
            <w:proofErr w:type="spellEnd"/>
          </w:p>
        </w:tc>
        <w:tc>
          <w:tcPr>
            <w:tcW w:w="1112" w:type="dxa"/>
          </w:tcPr>
          <w:p w14:paraId="7E8D8B85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92" w:type="dxa"/>
          </w:tcPr>
          <w:p w14:paraId="172E5F0F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67" w:type="dxa"/>
          </w:tcPr>
          <w:p w14:paraId="69019219" w14:textId="77777777" w:rsidR="002807C7" w:rsidRPr="002807C7" w:rsidRDefault="002807C7" w:rsidP="002807C7">
            <w:pPr>
              <w:numPr>
                <w:ilvl w:val="0"/>
                <w:numId w:val="5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01" w:type="dxa"/>
          </w:tcPr>
          <w:p w14:paraId="7C4EA624" w14:textId="77777777" w:rsidR="002807C7" w:rsidRPr="002807C7" w:rsidRDefault="002807C7" w:rsidP="002807C7">
            <w:pPr>
              <w:numPr>
                <w:ilvl w:val="0"/>
                <w:numId w:val="1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92" w:type="dxa"/>
          </w:tcPr>
          <w:p w14:paraId="7048A3D8" w14:textId="77777777" w:rsidR="002807C7" w:rsidRPr="002807C7" w:rsidRDefault="002807C7" w:rsidP="002807C7">
            <w:pPr>
              <w:numPr>
                <w:ilvl w:val="0"/>
                <w:numId w:val="1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68" w:type="dxa"/>
          </w:tcPr>
          <w:p w14:paraId="2DC27D8C" w14:textId="77777777" w:rsidR="002807C7" w:rsidRPr="002807C7" w:rsidRDefault="002807C7" w:rsidP="002807C7">
            <w:pPr>
              <w:numPr>
                <w:ilvl w:val="0"/>
                <w:numId w:val="1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</w:tcPr>
          <w:p w14:paraId="195722E0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982" w:type="dxa"/>
          </w:tcPr>
          <w:p w14:paraId="3EE1BC00" w14:textId="77777777" w:rsidR="002807C7" w:rsidRPr="002807C7" w:rsidRDefault="002807C7" w:rsidP="002807C7">
            <w:pPr>
              <w:numPr>
                <w:ilvl w:val="0"/>
                <w:numId w:val="1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053" w:type="dxa"/>
          </w:tcPr>
          <w:p w14:paraId="74F6108E" w14:textId="77777777" w:rsidR="002807C7" w:rsidRPr="002807C7" w:rsidRDefault="002807C7" w:rsidP="002807C7">
            <w:pPr>
              <w:numPr>
                <w:ilvl w:val="0"/>
                <w:numId w:val="1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1EE61F82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</w:tr>
      <w:tr w:rsidR="002807C7" w:rsidRPr="002807C7" w14:paraId="30ED35C1" w14:textId="77777777" w:rsidTr="002807C7">
        <w:trPr>
          <w:trHeight w:val="195"/>
        </w:trPr>
        <w:tc>
          <w:tcPr>
            <w:tcW w:w="1120" w:type="dxa"/>
            <w:shd w:val="clear" w:color="auto" w:fill="F2F2F2"/>
          </w:tcPr>
          <w:p w14:paraId="081DB6F5" w14:textId="39830D4A" w:rsidR="002807C7" w:rsidRPr="002807C7" w:rsidRDefault="002807C7" w:rsidP="00E52082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JADAS71 </w:t>
            </w:r>
            <w:r w:rsidR="00E52082">
              <w:rPr>
                <w:sz w:val="16"/>
                <w:szCs w:val="16"/>
                <w:lang w:val="en-GB"/>
              </w:rPr>
              <w:t xml:space="preserve">changes in a month </w:t>
            </w:r>
          </w:p>
        </w:tc>
        <w:tc>
          <w:tcPr>
            <w:tcW w:w="1112" w:type="dxa"/>
          </w:tcPr>
          <w:p w14:paraId="77009B5C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892" w:type="dxa"/>
          </w:tcPr>
          <w:p w14:paraId="6D5507C3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67" w:type="dxa"/>
          </w:tcPr>
          <w:p w14:paraId="7217C10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701" w:type="dxa"/>
          </w:tcPr>
          <w:p w14:paraId="1455B0E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92" w:type="dxa"/>
          </w:tcPr>
          <w:p w14:paraId="3670ECD5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68" w:type="dxa"/>
          </w:tcPr>
          <w:p w14:paraId="253A6978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124" w:type="dxa"/>
          </w:tcPr>
          <w:p w14:paraId="4CECDC03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82" w:type="dxa"/>
          </w:tcPr>
          <w:p w14:paraId="35C13A81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53" w:type="dxa"/>
          </w:tcPr>
          <w:p w14:paraId="50EE316B" w14:textId="77777777" w:rsidR="002807C7" w:rsidRPr="002807C7" w:rsidRDefault="002807C7" w:rsidP="002807C7">
            <w:pPr>
              <w:ind w:left="720"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223" w:type="dxa"/>
          </w:tcPr>
          <w:p w14:paraId="5CEAA572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  <w:p w14:paraId="30D9DC82" w14:textId="0D35BEBF" w:rsidR="002807C7" w:rsidRPr="002807C7" w:rsidRDefault="002807C7" w:rsidP="00B558A8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 xml:space="preserve">(≥ 10 </w:t>
            </w:r>
            <w:r w:rsidR="00B558A8">
              <w:rPr>
                <w:sz w:val="16"/>
                <w:szCs w:val="16"/>
                <w:lang w:val="en-GB"/>
              </w:rPr>
              <w:t>points</w:t>
            </w:r>
            <w:r w:rsidRPr="002807C7">
              <w:rPr>
                <w:sz w:val="16"/>
                <w:szCs w:val="16"/>
                <w:lang w:val="en-GB"/>
              </w:rPr>
              <w:t>)</w:t>
            </w:r>
          </w:p>
        </w:tc>
      </w:tr>
      <w:tr w:rsidR="002807C7" w:rsidRPr="002807C7" w14:paraId="0E7B57ED" w14:textId="77777777" w:rsidTr="002807C7">
        <w:trPr>
          <w:trHeight w:val="195"/>
        </w:trPr>
        <w:tc>
          <w:tcPr>
            <w:tcW w:w="1120" w:type="dxa"/>
            <w:shd w:val="clear" w:color="auto" w:fill="F2F2F2"/>
          </w:tcPr>
          <w:p w14:paraId="1733EE61" w14:textId="231698A1" w:rsidR="002807C7" w:rsidRPr="002807C7" w:rsidRDefault="00E52082" w:rsidP="00162119">
            <w:pPr>
              <w:ind w:right="-46"/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Achievement of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</w:t>
            </w:r>
            <w:r w:rsidR="00162119">
              <w:rPr>
                <w:sz w:val="16"/>
                <w:szCs w:val="16"/>
                <w:lang w:val="en-GB"/>
              </w:rPr>
              <w:t>paediatric ACR70 at</w:t>
            </w:r>
            <w:r w:rsidR="002807C7" w:rsidRPr="002807C7">
              <w:rPr>
                <w:sz w:val="16"/>
                <w:szCs w:val="16"/>
                <w:lang w:val="en-GB"/>
              </w:rPr>
              <w:t xml:space="preserve"> 4 </w:t>
            </w:r>
            <w:r w:rsidR="00162119">
              <w:rPr>
                <w:sz w:val="16"/>
                <w:szCs w:val="16"/>
                <w:lang w:val="en-GB"/>
              </w:rPr>
              <w:t>months</w:t>
            </w:r>
          </w:p>
        </w:tc>
        <w:tc>
          <w:tcPr>
            <w:tcW w:w="1112" w:type="dxa"/>
          </w:tcPr>
          <w:p w14:paraId="3E4CBAB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892" w:type="dxa"/>
          </w:tcPr>
          <w:p w14:paraId="20A47A51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67" w:type="dxa"/>
          </w:tcPr>
          <w:p w14:paraId="60F53BD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701" w:type="dxa"/>
          </w:tcPr>
          <w:p w14:paraId="3B0636DF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592" w:type="dxa"/>
          </w:tcPr>
          <w:p w14:paraId="7873DB94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68" w:type="dxa"/>
          </w:tcPr>
          <w:p w14:paraId="0FBBC36A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124" w:type="dxa"/>
          </w:tcPr>
          <w:p w14:paraId="31447CB8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982" w:type="dxa"/>
          </w:tcPr>
          <w:p w14:paraId="2B717610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1053" w:type="dxa"/>
          </w:tcPr>
          <w:p w14:paraId="3ACB07C6" w14:textId="77777777" w:rsidR="002807C7" w:rsidRPr="002807C7" w:rsidRDefault="002807C7" w:rsidP="002807C7">
            <w:pPr>
              <w:numPr>
                <w:ilvl w:val="0"/>
                <w:numId w:val="1"/>
              </w:numPr>
              <w:suppressAutoHyphens/>
              <w:spacing w:line="240" w:lineRule="exact"/>
              <w:ind w:right="-4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223" w:type="dxa"/>
          </w:tcPr>
          <w:p w14:paraId="19F6071B" w14:textId="77777777" w:rsidR="002807C7" w:rsidRPr="002807C7" w:rsidRDefault="002807C7" w:rsidP="002807C7">
            <w:pPr>
              <w:ind w:right="-46"/>
              <w:jc w:val="center"/>
              <w:rPr>
                <w:sz w:val="16"/>
                <w:szCs w:val="16"/>
                <w:lang w:val="en-GB"/>
              </w:rPr>
            </w:pPr>
            <w:r w:rsidRPr="002807C7">
              <w:rPr>
                <w:sz w:val="16"/>
                <w:szCs w:val="16"/>
                <w:lang w:val="en-GB"/>
              </w:rPr>
              <w:t>-</w:t>
            </w:r>
          </w:p>
        </w:tc>
      </w:tr>
    </w:tbl>
    <w:p w14:paraId="0040D0C7" w14:textId="31890493" w:rsidR="00B558A8" w:rsidRPr="00344E55" w:rsidRDefault="005C3C76" w:rsidP="00B558A8">
      <w:pPr>
        <w:ind w:right="-46"/>
        <w:jc w:val="both"/>
        <w:rPr>
          <w:rFonts w:ascii="Times New Roman" w:eastAsia="Times New Roman" w:hAnsi="Times New Roman" w:cs="Times New Roman"/>
          <w:sz w:val="22"/>
          <w:lang w:val="en-GB"/>
        </w:rPr>
      </w:pPr>
      <w:r w:rsidRPr="00344E55">
        <w:rPr>
          <w:rFonts w:ascii="Times New Roman" w:eastAsia="Times New Roman" w:hAnsi="Times New Roman" w:cs="Times New Roman"/>
          <w:i/>
          <w:sz w:val="22"/>
          <w:lang w:val="en-GB"/>
        </w:rPr>
        <w:t>Note</w:t>
      </w:r>
      <w:r w:rsidR="00B558A8" w:rsidRPr="00344E55">
        <w:rPr>
          <w:rFonts w:ascii="Times New Roman" w:eastAsia="Times New Roman" w:hAnsi="Times New Roman" w:cs="Times New Roman"/>
          <w:sz w:val="22"/>
          <w:lang w:val="en-GB"/>
        </w:rPr>
        <w:t xml:space="preserve">. * ― </w:t>
      </w:r>
      <w:r w:rsidR="0092700D" w:rsidRPr="00344E55">
        <w:rPr>
          <w:rFonts w:ascii="Times New Roman" w:eastAsia="Times New Roman" w:hAnsi="Times New Roman" w:cs="Times New Roman"/>
          <w:sz w:val="22"/>
          <w:lang w:val="en-GB"/>
        </w:rPr>
        <w:t xml:space="preserve">the threshold level for response predictor </w:t>
      </w:r>
      <w:r w:rsidR="0092700D" w:rsidRPr="00344E55">
        <w:rPr>
          <w:rFonts w:ascii="Times New Roman" w:eastAsia="Times New Roman" w:hAnsi="Times New Roman" w:cs="Times New Roman"/>
          <w:sz w:val="22"/>
          <w:lang w:val="en-US"/>
        </w:rPr>
        <w:t>was not specified</w:t>
      </w:r>
      <w:r w:rsidR="00B558A8" w:rsidRPr="00344E55">
        <w:rPr>
          <w:rFonts w:ascii="Times New Roman" w:eastAsia="Times New Roman" w:hAnsi="Times New Roman" w:cs="Times New Roman"/>
          <w:sz w:val="22"/>
          <w:lang w:val="en-GB"/>
        </w:rPr>
        <w:t xml:space="preserve">, </w:t>
      </w:r>
      <w:r w:rsidR="0092700D" w:rsidRPr="00344E55">
        <w:rPr>
          <w:rFonts w:ascii="Times New Roman" w:eastAsia="Times New Roman" w:hAnsi="Times New Roman" w:cs="Times New Roman"/>
          <w:sz w:val="22"/>
          <w:lang w:val="en-GB"/>
        </w:rPr>
        <w:t>the data was</w:t>
      </w:r>
      <w:r w:rsidR="00B558A8" w:rsidRPr="00344E55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2700D" w:rsidRPr="00344E55">
        <w:rPr>
          <w:rFonts w:ascii="Times New Roman" w:eastAsia="Times New Roman" w:hAnsi="Times New Roman" w:cs="Times New Roman"/>
          <w:sz w:val="22"/>
          <w:lang w:val="en-GB"/>
        </w:rPr>
        <w:t>not presented elsewhere</w:t>
      </w:r>
      <w:r w:rsidR="00B558A8" w:rsidRPr="00344E55">
        <w:rPr>
          <w:rFonts w:ascii="Times New Roman" w:eastAsia="Times New Roman" w:hAnsi="Times New Roman" w:cs="Times New Roman"/>
          <w:sz w:val="22"/>
          <w:lang w:val="en-GB"/>
        </w:rPr>
        <w:t>.</w:t>
      </w:r>
    </w:p>
    <w:p w14:paraId="5196237B" w14:textId="5FE92118" w:rsidR="00B558A8" w:rsidRPr="00344E55" w:rsidRDefault="00B558A8" w:rsidP="00EA299C">
      <w:pPr>
        <w:numPr>
          <w:ilvl w:val="0"/>
          <w:numId w:val="1"/>
        </w:numPr>
        <w:suppressAutoHyphens/>
        <w:spacing w:line="240" w:lineRule="exact"/>
        <w:ind w:left="0" w:right="-46" w:firstLine="0"/>
        <w:jc w:val="both"/>
        <w:rPr>
          <w:rFonts w:ascii="Times New Roman" w:eastAsia="Times New Roman" w:hAnsi="Times New Roman" w:cs="Times New Roman"/>
          <w:sz w:val="22"/>
          <w:lang w:val="en-GB"/>
        </w:rPr>
      </w:pPr>
      <w:r w:rsidRPr="00344E55">
        <w:rPr>
          <w:rFonts w:ascii="Times New Roman" w:eastAsia="Times New Roman" w:hAnsi="Times New Roman" w:cs="Times New Roman"/>
          <w:sz w:val="22"/>
          <w:lang w:val="en-GB"/>
        </w:rPr>
        <w:t xml:space="preserve">― </w:t>
      </w:r>
      <w:r w:rsidR="00EA299C" w:rsidRPr="00344E55">
        <w:rPr>
          <w:rFonts w:ascii="Times New Roman" w:eastAsia="Times New Roman" w:hAnsi="Times New Roman" w:cs="Times New Roman"/>
          <w:sz w:val="22"/>
          <w:lang w:val="en-GB"/>
        </w:rPr>
        <w:t>there is link between parameter and outcome</w:t>
      </w:r>
      <w:r w:rsidR="00B00EDA" w:rsidRPr="00344E55">
        <w:rPr>
          <w:rFonts w:ascii="Times New Roman" w:eastAsia="Times New Roman" w:hAnsi="Times New Roman" w:cs="Times New Roman"/>
          <w:sz w:val="22"/>
          <w:lang w:val="en-GB"/>
        </w:rPr>
        <w:t>;</w:t>
      </w:r>
    </w:p>
    <w:p w14:paraId="07DC0094" w14:textId="17D52894" w:rsidR="00B558A8" w:rsidRPr="00344E55" w:rsidRDefault="00B558A8" w:rsidP="00EA299C">
      <w:pPr>
        <w:numPr>
          <w:ilvl w:val="0"/>
          <w:numId w:val="23"/>
        </w:numPr>
        <w:suppressAutoHyphens/>
        <w:spacing w:line="240" w:lineRule="exact"/>
        <w:ind w:left="0" w:right="-46" w:firstLine="0"/>
        <w:jc w:val="both"/>
        <w:rPr>
          <w:rFonts w:ascii="Times New Roman" w:eastAsia="Times New Roman" w:hAnsi="Times New Roman" w:cs="Times New Roman"/>
          <w:sz w:val="22"/>
          <w:lang w:val="en-GB"/>
        </w:rPr>
      </w:pPr>
      <w:r w:rsidRPr="00344E55">
        <w:rPr>
          <w:rFonts w:ascii="Times New Roman" w:eastAsia="Times New Roman" w:hAnsi="Times New Roman" w:cs="Times New Roman"/>
          <w:sz w:val="22"/>
          <w:lang w:val="en-GB"/>
        </w:rPr>
        <w:lastRenderedPageBreak/>
        <w:t xml:space="preserve">― </w:t>
      </w:r>
      <w:r w:rsidR="00EA299C" w:rsidRPr="00344E55">
        <w:rPr>
          <w:rFonts w:ascii="Times New Roman" w:eastAsia="Times New Roman" w:hAnsi="Times New Roman" w:cs="Times New Roman"/>
          <w:sz w:val="22"/>
          <w:lang w:val="en-GB"/>
        </w:rPr>
        <w:t>there is no link between parameter and outcome</w:t>
      </w:r>
      <w:r w:rsidRPr="00344E55">
        <w:rPr>
          <w:rFonts w:ascii="Times New Roman" w:eastAsia="Times New Roman" w:hAnsi="Times New Roman" w:cs="Times New Roman"/>
          <w:sz w:val="22"/>
          <w:lang w:val="en-GB"/>
        </w:rPr>
        <w:t>;</w:t>
      </w:r>
    </w:p>
    <w:p w14:paraId="1E0ED5EE" w14:textId="72870021" w:rsidR="00B558A8" w:rsidRPr="00344E55" w:rsidRDefault="00B558A8" w:rsidP="00EA299C">
      <w:pPr>
        <w:ind w:right="-46"/>
        <w:jc w:val="both"/>
        <w:rPr>
          <w:rFonts w:ascii="Times New Roman" w:eastAsia="Times New Roman" w:hAnsi="Times New Roman" w:cs="Times New Roman"/>
          <w:sz w:val="22"/>
          <w:lang w:val="en-GB"/>
        </w:rPr>
      </w:pPr>
      <w:r w:rsidRPr="00344E55">
        <w:rPr>
          <w:rFonts w:ascii="Times New Roman" w:eastAsia="Times New Roman" w:hAnsi="Times New Roman" w:cs="Times New Roman"/>
          <w:sz w:val="22"/>
          <w:lang w:val="en-GB"/>
        </w:rPr>
        <w:t>(-) </w:t>
      </w:r>
      <w:r w:rsidR="00EA299C" w:rsidRPr="00344E55">
        <w:rPr>
          <w:rFonts w:ascii="Times New Roman" w:eastAsia="Times New Roman" w:hAnsi="Times New Roman" w:cs="Times New Roman"/>
          <w:sz w:val="22"/>
          <w:lang w:val="en-GB"/>
        </w:rPr>
        <w:tab/>
      </w:r>
      <w:r w:rsidRPr="00344E55">
        <w:rPr>
          <w:rFonts w:ascii="Times New Roman" w:eastAsia="Times New Roman" w:hAnsi="Times New Roman" w:cs="Times New Roman"/>
          <w:sz w:val="22"/>
          <w:lang w:val="en-GB"/>
        </w:rPr>
        <w:t xml:space="preserve">― </w:t>
      </w:r>
      <w:r w:rsidR="00EA299C" w:rsidRPr="00344E55">
        <w:rPr>
          <w:rFonts w:ascii="Times New Roman" w:eastAsia="Times New Roman" w:hAnsi="Times New Roman" w:cs="Times New Roman"/>
          <w:sz w:val="22"/>
          <w:lang w:val="en-GB"/>
        </w:rPr>
        <w:t>the link between parameter and outcome was not</w:t>
      </w:r>
      <w:r w:rsidRPr="00344E55">
        <w:rPr>
          <w:rFonts w:ascii="Times New Roman" w:eastAsia="Times New Roman" w:hAnsi="Times New Roman" w:cs="Times New Roman"/>
          <w:sz w:val="22"/>
          <w:lang w:val="en-GB"/>
        </w:rPr>
        <w:t>.</w:t>
      </w:r>
    </w:p>
    <w:p w14:paraId="3A31CCB9" w14:textId="624F4340" w:rsidR="00B558A8" w:rsidRPr="00344E55" w:rsidRDefault="00D268E0" w:rsidP="00EA299C">
      <w:pPr>
        <w:ind w:right="-46"/>
        <w:jc w:val="both"/>
        <w:rPr>
          <w:rFonts w:ascii="Times New Roman" w:hAnsi="Times New Roman" w:cs="Times New Roman"/>
          <w:sz w:val="22"/>
          <w:lang w:val="en-GB"/>
        </w:rPr>
      </w:pPr>
      <w:r w:rsidRPr="00344E55">
        <w:rPr>
          <w:rFonts w:ascii="Times New Roman" w:hAnsi="Times New Roman" w:cs="Times New Roman"/>
          <w:sz w:val="22"/>
          <w:lang w:val="en-GB"/>
        </w:rPr>
        <w:t>ACR</w:t>
      </w:r>
      <w:r w:rsidR="0092700D" w:rsidRPr="00344E55">
        <w:rPr>
          <w:rFonts w:ascii="Times New Roman" w:hAnsi="Times New Roman" w:cs="Times New Roman"/>
          <w:sz w:val="22"/>
          <w:lang w:val="en-GB"/>
        </w:rPr>
        <w:t xml:space="preserve"> </w:t>
      </w:r>
      <w:r w:rsidR="00B558A8" w:rsidRPr="00344E55">
        <w:rPr>
          <w:rFonts w:ascii="Times New Roman" w:hAnsi="Times New Roman" w:cs="Times New Roman"/>
          <w:sz w:val="22"/>
          <w:lang w:val="en-GB"/>
        </w:rPr>
        <w:t xml:space="preserve">― </w:t>
      </w:r>
      <w:r w:rsidR="0092700D" w:rsidRPr="00344E55">
        <w:rPr>
          <w:rFonts w:ascii="Times New Roman" w:hAnsi="Times New Roman" w:cs="Times New Roman"/>
          <w:sz w:val="22"/>
          <w:lang w:val="en-GB"/>
        </w:rPr>
        <w:t>American College of Rheumatology</w:t>
      </w:r>
      <w:r w:rsidR="00B558A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="0092700D" w:rsidRPr="00344E55">
        <w:rPr>
          <w:rFonts w:ascii="Times New Roman" w:hAnsi="Times New Roman" w:cs="Times New Roman"/>
          <w:sz w:val="22"/>
          <w:lang w:val="en-GB"/>
        </w:rPr>
        <w:t>DMARD</w:t>
      </w:r>
      <w:r w:rsidR="00B558A8" w:rsidRPr="00344E55">
        <w:rPr>
          <w:rFonts w:ascii="Times New Roman" w:hAnsi="Times New Roman" w:cs="Times New Roman"/>
          <w:sz w:val="22"/>
          <w:lang w:val="en-GB"/>
        </w:rPr>
        <w:t xml:space="preserve"> ― </w:t>
      </w:r>
      <w:r w:rsidR="0092700D" w:rsidRPr="00344E55">
        <w:rPr>
          <w:rFonts w:ascii="Times New Roman" w:hAnsi="Times New Roman" w:cs="Times New Roman"/>
          <w:sz w:val="22"/>
          <w:lang w:val="en-GB"/>
        </w:rPr>
        <w:t>disease-modifying anti-rheumatic drugs</w:t>
      </w:r>
      <w:r w:rsidR="00B558A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Pr="00344E55">
        <w:rPr>
          <w:rFonts w:ascii="Times New Roman" w:hAnsi="Times New Roman" w:cs="Times New Roman"/>
          <w:sz w:val="22"/>
          <w:lang w:val="en-GB"/>
        </w:rPr>
        <w:t>GKS</w:t>
      </w:r>
      <w:r w:rsidR="00B558A8" w:rsidRPr="00344E55">
        <w:rPr>
          <w:rFonts w:ascii="Times New Roman" w:hAnsi="Times New Roman" w:cs="Times New Roman"/>
          <w:sz w:val="22"/>
          <w:lang w:val="en-GB"/>
        </w:rPr>
        <w:t xml:space="preserve"> ― </w:t>
      </w:r>
      <w:proofErr w:type="spellStart"/>
      <w:r w:rsidR="0092700D" w:rsidRPr="00344E55">
        <w:rPr>
          <w:rFonts w:ascii="Times New Roman" w:hAnsi="Times New Roman" w:cs="Times New Roman"/>
          <w:sz w:val="22"/>
          <w:lang w:val="en-GB"/>
        </w:rPr>
        <w:t>glucocorticosteroids</w:t>
      </w:r>
      <w:proofErr w:type="spellEnd"/>
      <w:r w:rsidR="00B558A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Pr="00344E55">
        <w:rPr>
          <w:rFonts w:ascii="Times New Roman" w:hAnsi="Times New Roman" w:cs="Times New Roman"/>
          <w:sz w:val="22"/>
          <w:lang w:val="en-GB"/>
        </w:rPr>
        <w:t>ESR</w:t>
      </w:r>
      <w:r w:rsidR="0092700D" w:rsidRPr="00344E55">
        <w:rPr>
          <w:rFonts w:ascii="Times New Roman" w:hAnsi="Times New Roman" w:cs="Times New Roman"/>
          <w:sz w:val="22"/>
          <w:lang w:val="en-GB"/>
        </w:rPr>
        <w:t xml:space="preserve"> </w:t>
      </w:r>
      <w:r w:rsidR="00B558A8" w:rsidRPr="00344E55">
        <w:rPr>
          <w:rFonts w:ascii="Times New Roman" w:hAnsi="Times New Roman" w:cs="Times New Roman"/>
          <w:sz w:val="22"/>
          <w:lang w:val="en-GB"/>
        </w:rPr>
        <w:t xml:space="preserve">― </w:t>
      </w:r>
      <w:r w:rsidR="0092700D" w:rsidRPr="00344E55">
        <w:rPr>
          <w:rFonts w:ascii="Times New Roman" w:hAnsi="Times New Roman" w:cs="Times New Roman"/>
          <w:sz w:val="22"/>
          <w:lang w:val="en-GB"/>
        </w:rPr>
        <w:t>erythrocyte sedimentation rate</w:t>
      </w:r>
      <w:r w:rsidR="00B558A8" w:rsidRPr="00344E55">
        <w:rPr>
          <w:rFonts w:ascii="Times New Roman" w:hAnsi="Times New Roman" w:cs="Times New Roman"/>
          <w:sz w:val="22"/>
          <w:lang w:val="en-GB"/>
        </w:rPr>
        <w:t>.</w:t>
      </w:r>
    </w:p>
    <w:p w14:paraId="48F6269F" w14:textId="77777777" w:rsidR="00614149" w:rsidRPr="0092700D" w:rsidRDefault="00614149" w:rsidP="002F207C">
      <w:pPr>
        <w:jc w:val="both"/>
        <w:rPr>
          <w:rFonts w:ascii="Times New Roman" w:hAnsi="Times New Roman" w:cs="Times New Roman"/>
          <w:lang w:val="en-GB"/>
        </w:rPr>
      </w:pPr>
    </w:p>
    <w:p w14:paraId="494AF407" w14:textId="6E70FD06" w:rsidR="00614149" w:rsidRPr="001C33E9" w:rsidRDefault="00B00EDA" w:rsidP="002F207C">
      <w:pPr>
        <w:jc w:val="both"/>
        <w:rPr>
          <w:rFonts w:ascii="Times New Roman" w:hAnsi="Times New Roman" w:cs="Times New Roman"/>
          <w:lang w:val="en-GB"/>
        </w:rPr>
      </w:pPr>
      <w:r w:rsidRPr="00B00EDA">
        <w:rPr>
          <w:rFonts w:ascii="Times New Roman" w:hAnsi="Times New Roman" w:cs="Times New Roman"/>
          <w:b/>
          <w:lang w:val="en-GB"/>
        </w:rPr>
        <w:t>Table</w:t>
      </w:r>
      <w:r w:rsidRPr="00B00EDA">
        <w:rPr>
          <w:rFonts w:ascii="Times New Roman" w:hAnsi="Times New Roman" w:cs="Times New Roman"/>
          <w:b/>
          <w:lang w:val="en-US"/>
        </w:rPr>
        <w:t> </w:t>
      </w:r>
      <w:r w:rsidR="009B41B8" w:rsidRPr="00B00EDA">
        <w:rPr>
          <w:rFonts w:ascii="Times New Roman" w:hAnsi="Times New Roman" w:cs="Times New Roman"/>
          <w:b/>
          <w:lang w:val="en-GB"/>
        </w:rPr>
        <w:t>2</w:t>
      </w:r>
      <w:r w:rsidR="009B41B8" w:rsidRPr="001C33E9">
        <w:rPr>
          <w:rFonts w:ascii="Times New Roman" w:hAnsi="Times New Roman" w:cs="Times New Roman"/>
          <w:lang w:val="en-GB"/>
        </w:rPr>
        <w:t>. Characteristic of patients with JIA without</w:t>
      </w:r>
      <w:r>
        <w:rPr>
          <w:rFonts w:ascii="Times New Roman" w:hAnsi="Times New Roman" w:cs="Times New Roman"/>
          <w:lang w:val="en-GB"/>
        </w:rPr>
        <w:t xml:space="preserve"> systematic manifestations (</w:t>
      </w:r>
      <w:r w:rsidRPr="00B00EDA">
        <w:rPr>
          <w:rFonts w:ascii="Times New Roman" w:hAnsi="Times New Roman" w:cs="Times New Roman"/>
          <w:i/>
          <w:lang w:val="en-GB"/>
        </w:rPr>
        <w:t>n</w:t>
      </w:r>
      <w:r w:rsidRPr="00B00EDA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lang w:val="en-GB"/>
        </w:rPr>
        <w:t>=</w:t>
      </w:r>
      <w:r w:rsidR="009B41B8" w:rsidRPr="001C33E9">
        <w:rPr>
          <w:rFonts w:ascii="Times New Roman" w:hAnsi="Times New Roman" w:cs="Times New Roman"/>
          <w:lang w:val="en-GB"/>
        </w:rPr>
        <w:t>197)</w:t>
      </w:r>
    </w:p>
    <w:tbl>
      <w:tblPr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1876"/>
      </w:tblGrid>
      <w:tr w:rsidR="009B41B8" w:rsidRPr="009B41B8" w14:paraId="20CC2E77" w14:textId="77777777" w:rsidTr="001C33E9">
        <w:trPr>
          <w:trHeight w:val="297"/>
        </w:trPr>
        <w:tc>
          <w:tcPr>
            <w:tcW w:w="6204" w:type="dxa"/>
          </w:tcPr>
          <w:p w14:paraId="70034399" w14:textId="3F220342" w:rsidR="009B41B8" w:rsidRPr="009B41B8" w:rsidRDefault="0039028F" w:rsidP="009B41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1876" w:type="dxa"/>
            <w:noWrap/>
          </w:tcPr>
          <w:p w14:paraId="48452C95" w14:textId="5C0DAC1B" w:rsidR="009B41B8" w:rsidRPr="009B41B8" w:rsidRDefault="001C33E9" w:rsidP="009B41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C3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Value</w:t>
            </w:r>
          </w:p>
        </w:tc>
      </w:tr>
      <w:tr w:rsidR="009B41B8" w:rsidRPr="009B41B8" w14:paraId="783E999B" w14:textId="77777777" w:rsidTr="001C33E9">
        <w:trPr>
          <w:trHeight w:val="58"/>
        </w:trPr>
        <w:tc>
          <w:tcPr>
            <w:tcW w:w="6204" w:type="dxa"/>
          </w:tcPr>
          <w:p w14:paraId="541F5901" w14:textId="058C48A7" w:rsidR="009B41B8" w:rsidRPr="009B41B8" w:rsidRDefault="001C33E9" w:rsidP="001C33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Gender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female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876" w:type="dxa"/>
          </w:tcPr>
          <w:p w14:paraId="51A66A08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137 (69,5)</w:t>
            </w:r>
          </w:p>
        </w:tc>
      </w:tr>
      <w:tr w:rsidR="009B41B8" w:rsidRPr="009B41B8" w14:paraId="08948A9B" w14:textId="77777777" w:rsidTr="001C33E9">
        <w:trPr>
          <w:trHeight w:val="297"/>
        </w:trPr>
        <w:tc>
          <w:tcPr>
            <w:tcW w:w="6204" w:type="dxa"/>
          </w:tcPr>
          <w:p w14:paraId="1497D44F" w14:textId="743CCD8C" w:rsidR="009B41B8" w:rsidRPr="009B41B8" w:rsidRDefault="001C33E9" w:rsidP="001C33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Age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*,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years</w:t>
            </w:r>
          </w:p>
        </w:tc>
        <w:tc>
          <w:tcPr>
            <w:tcW w:w="1876" w:type="dxa"/>
            <w:noWrap/>
          </w:tcPr>
          <w:p w14:paraId="1FB89E10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 (4; 12)</w:t>
            </w:r>
          </w:p>
        </w:tc>
      </w:tr>
      <w:tr w:rsidR="009B41B8" w:rsidRPr="009B41B8" w14:paraId="5886D6A9" w14:textId="77777777" w:rsidTr="001C33E9">
        <w:trPr>
          <w:trHeight w:val="297"/>
        </w:trPr>
        <w:tc>
          <w:tcPr>
            <w:tcW w:w="6204" w:type="dxa"/>
          </w:tcPr>
          <w:p w14:paraId="45961807" w14:textId="2083084A" w:rsidR="009B41B8" w:rsidRPr="009B41B8" w:rsidRDefault="001C33E9" w:rsidP="00344E5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JIA o</w:t>
            </w:r>
            <w:r w:rsidRPr="001C33E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nset age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</w:t>
            </w:r>
            <w:r w:rsidR="00344E5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76" w:type="dxa"/>
            <w:noWrap/>
          </w:tcPr>
          <w:p w14:paraId="2A249578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 (2; 7)</w:t>
            </w:r>
          </w:p>
        </w:tc>
      </w:tr>
      <w:tr w:rsidR="009B41B8" w:rsidRPr="009B41B8" w14:paraId="5C6EEDCB" w14:textId="77777777" w:rsidTr="001C33E9">
        <w:trPr>
          <w:trHeight w:val="297"/>
        </w:trPr>
        <w:tc>
          <w:tcPr>
            <w:tcW w:w="6204" w:type="dxa"/>
          </w:tcPr>
          <w:p w14:paraId="47E608D4" w14:textId="7A72ADD7" w:rsidR="009B41B8" w:rsidRPr="009B41B8" w:rsidRDefault="001C33E9" w:rsidP="001C33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JIA duration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*,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years</w:t>
            </w:r>
          </w:p>
        </w:tc>
        <w:tc>
          <w:tcPr>
            <w:tcW w:w="1876" w:type="dxa"/>
            <w:noWrap/>
          </w:tcPr>
          <w:p w14:paraId="5EED9B62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 (1; 5)</w:t>
            </w:r>
          </w:p>
        </w:tc>
      </w:tr>
      <w:tr w:rsidR="009B41B8" w:rsidRPr="009B41B8" w14:paraId="1C7598DD" w14:textId="77777777" w:rsidTr="001C33E9">
        <w:trPr>
          <w:trHeight w:val="1234"/>
        </w:trPr>
        <w:tc>
          <w:tcPr>
            <w:tcW w:w="6204" w:type="dxa"/>
          </w:tcPr>
          <w:p w14:paraId="26A573DE" w14:textId="596D6756" w:rsidR="009B41B8" w:rsidRPr="009B41B8" w:rsidRDefault="001C33E9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Diagnosis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according to the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ILAR,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(%):</w:t>
            </w:r>
          </w:p>
          <w:p w14:paraId="345ACD70" w14:textId="2BDAD518" w:rsidR="009B41B8" w:rsidRPr="009B41B8" w:rsidRDefault="00211D5C" w:rsidP="009B41B8">
            <w:pPr>
              <w:numPr>
                <w:ilvl w:val="0"/>
                <w:numId w:val="24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RF positive </w:t>
            </w:r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polyarthritis</w:t>
            </w:r>
          </w:p>
          <w:p w14:paraId="6C9D0921" w14:textId="085F2596" w:rsidR="00211D5C" w:rsidRPr="009B41B8" w:rsidRDefault="00211D5C" w:rsidP="00211D5C">
            <w:pPr>
              <w:numPr>
                <w:ilvl w:val="0"/>
                <w:numId w:val="24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RF negative </w:t>
            </w:r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polyarthritis</w:t>
            </w:r>
          </w:p>
          <w:p w14:paraId="6F983E1D" w14:textId="4F2ADD63" w:rsidR="009B41B8" w:rsidRPr="009B41B8" w:rsidRDefault="00211D5C" w:rsidP="009B41B8">
            <w:pPr>
              <w:numPr>
                <w:ilvl w:val="0"/>
                <w:numId w:val="24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persisting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oligoarthritis</w:t>
            </w:r>
            <w:proofErr w:type="spellEnd"/>
          </w:p>
          <w:p w14:paraId="3E93CDF4" w14:textId="39761F9D" w:rsidR="009B41B8" w:rsidRPr="009B41B8" w:rsidRDefault="00211D5C" w:rsidP="009B41B8">
            <w:pPr>
              <w:numPr>
                <w:ilvl w:val="0"/>
                <w:numId w:val="24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extended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oligoarthritis</w:t>
            </w:r>
            <w:proofErr w:type="spellEnd"/>
          </w:p>
          <w:p w14:paraId="685FDCA3" w14:textId="77777777" w:rsidR="00211D5C" w:rsidRDefault="00211D5C" w:rsidP="009B41B8">
            <w:pPr>
              <w:numPr>
                <w:ilvl w:val="0"/>
                <w:numId w:val="24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proofErr w:type="spellStart"/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enthesitis</w:t>
            </w:r>
            <w:proofErr w:type="spellEnd"/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-related arthritis </w:t>
            </w:r>
          </w:p>
          <w:p w14:paraId="05C930A2" w14:textId="4686925D" w:rsidR="009B41B8" w:rsidRPr="009B41B8" w:rsidRDefault="00211D5C" w:rsidP="009B41B8">
            <w:pPr>
              <w:numPr>
                <w:ilvl w:val="0"/>
                <w:numId w:val="24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11D5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psoriatic arthritis</w:t>
            </w:r>
          </w:p>
        </w:tc>
        <w:tc>
          <w:tcPr>
            <w:tcW w:w="1876" w:type="dxa"/>
          </w:tcPr>
          <w:p w14:paraId="125B79C4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A5B0F8C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(0,5)</w:t>
            </w:r>
          </w:p>
          <w:p w14:paraId="7270424D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64 (32,5)</w:t>
            </w:r>
          </w:p>
          <w:p w14:paraId="57AC7902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84 (42,6)</w:t>
            </w:r>
          </w:p>
          <w:p w14:paraId="0EAB3771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23 (11,7)</w:t>
            </w:r>
          </w:p>
          <w:p w14:paraId="597AAB3D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24 (12,2)</w:t>
            </w:r>
          </w:p>
          <w:p w14:paraId="52081E0C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(0,5)</w:t>
            </w:r>
          </w:p>
        </w:tc>
      </w:tr>
      <w:tr w:rsidR="009B41B8" w:rsidRPr="009B41B8" w14:paraId="596AC2DD" w14:textId="77777777" w:rsidTr="001C33E9">
        <w:trPr>
          <w:trHeight w:val="110"/>
        </w:trPr>
        <w:tc>
          <w:tcPr>
            <w:tcW w:w="6204" w:type="dxa"/>
          </w:tcPr>
          <w:p w14:paraId="66761C57" w14:textId="2407915A" w:rsidR="009B41B8" w:rsidRPr="009B41B8" w:rsidRDefault="009E1036" w:rsidP="009E103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9E103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omorbid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uveitis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*,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876" w:type="dxa"/>
            <w:noWrap/>
          </w:tcPr>
          <w:p w14:paraId="5C2A2F70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 (3,6)</w:t>
            </w:r>
          </w:p>
        </w:tc>
      </w:tr>
      <w:tr w:rsidR="009B41B8" w:rsidRPr="009B41B8" w14:paraId="5D9291EC" w14:textId="77777777" w:rsidTr="001C33E9">
        <w:trPr>
          <w:trHeight w:val="132"/>
        </w:trPr>
        <w:tc>
          <w:tcPr>
            <w:tcW w:w="6204" w:type="dxa"/>
          </w:tcPr>
          <w:p w14:paraId="6FC276B1" w14:textId="3745F14A" w:rsidR="009B41B8" w:rsidRPr="009B41B8" w:rsidRDefault="002D0003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rior therapy 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**</w:t>
            </w:r>
          </w:p>
          <w:p w14:paraId="12505F69" w14:textId="76D1B0C8" w:rsidR="009B41B8" w:rsidRPr="009B41B8" w:rsidRDefault="002D0003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NSAID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  <w:p w14:paraId="30690368" w14:textId="0899B8C1" w:rsidR="009B41B8" w:rsidRPr="009B41B8" w:rsidRDefault="002D0003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isease-modifying drugs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  <w:p w14:paraId="47B47277" w14:textId="79CC00EC" w:rsidR="009B41B8" w:rsidRPr="009B41B8" w:rsidRDefault="000C60F1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  <w:r w:rsidR="002D0003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ethotrexat</w:t>
            </w:r>
            <w:proofErr w:type="spellEnd"/>
          </w:p>
          <w:p w14:paraId="70981638" w14:textId="3BBA0916" w:rsidR="009B41B8" w:rsidRPr="009B41B8" w:rsidRDefault="00344E55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  <w:r w:rsid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ther drugs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***</w:t>
            </w:r>
          </w:p>
          <w:p w14:paraId="15995E21" w14:textId="6674B53E" w:rsidR="009B41B8" w:rsidRPr="009B41B8" w:rsidRDefault="000C60F1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</w:t>
            </w:r>
            <w:r w:rsidR="002D0003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eflunomide</w:t>
            </w:r>
          </w:p>
          <w:p w14:paraId="37BCCE2A" w14:textId="61F79000" w:rsidR="009B41B8" w:rsidRPr="009B41B8" w:rsidRDefault="000C60F1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</w:t>
            </w:r>
            <w:r w:rsidR="002D0003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yclophosphamide</w:t>
            </w:r>
          </w:p>
          <w:p w14:paraId="613DE13F" w14:textId="77705244" w:rsidR="009B41B8" w:rsidRPr="009B41B8" w:rsidRDefault="000C60F1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</w:t>
            </w:r>
            <w:r w:rsidR="002D0003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ydroxychloroquine</w:t>
            </w:r>
          </w:p>
          <w:p w14:paraId="1DF70C60" w14:textId="44D56F45" w:rsidR="009B41B8" w:rsidRPr="009B41B8" w:rsidRDefault="000C60F1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</w:t>
            </w:r>
            <w:r w:rsidR="002D0003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ulfasalazine</w:t>
            </w:r>
          </w:p>
          <w:p w14:paraId="29A2743A" w14:textId="545440AB" w:rsidR="009B41B8" w:rsidRPr="009B41B8" w:rsidRDefault="000C60F1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</w:t>
            </w:r>
            <w:r w:rsidR="002D0003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yclosporine</w:t>
            </w:r>
          </w:p>
          <w:p w14:paraId="58519522" w14:textId="6AFB7060" w:rsidR="009B41B8" w:rsidRPr="009B41B8" w:rsidRDefault="009B41B8" w:rsidP="009B41B8">
            <w:pPr>
              <w:numPr>
                <w:ilvl w:val="0"/>
                <w:numId w:val="25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≥ 2 </w:t>
            </w:r>
            <w:r w:rsid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drugs simultaneously in addition to</w:t>
            </w: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C60F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  <w:r w:rsidR="002D0003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ethotrexat</w:t>
            </w:r>
            <w:proofErr w:type="spellEnd"/>
          </w:p>
          <w:p w14:paraId="4CD31ECE" w14:textId="3E3F200D" w:rsidR="009B41B8" w:rsidRPr="009B41B8" w:rsidRDefault="002D0003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</w:t>
            </w: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lucocorticosteroids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="009B41B8" w:rsidRPr="009B41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 xml:space="preserve">per </w:t>
            </w:r>
            <w:proofErr w:type="spellStart"/>
            <w:r w:rsidR="009B41B8" w:rsidRPr="009B41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os</w:t>
            </w:r>
            <w:proofErr w:type="spellEnd"/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  <w:p w14:paraId="5A519C6D" w14:textId="4B12F57B" w:rsidR="009B41B8" w:rsidRPr="009B41B8" w:rsidRDefault="002D0003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GEBD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naive patient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s, 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  <w:p w14:paraId="07EAE867" w14:textId="1203F3F8" w:rsidR="009B41B8" w:rsidRPr="009B41B8" w:rsidRDefault="002D0003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One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GEBD in past medical history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  <w:p w14:paraId="59E272FC" w14:textId="0CC6DB59" w:rsidR="009B41B8" w:rsidRPr="009B41B8" w:rsidRDefault="002D0003" w:rsidP="002D00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Two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and more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GEBD in past medical history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876" w:type="dxa"/>
            <w:noWrap/>
          </w:tcPr>
          <w:p w14:paraId="5F6216E5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11537DE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194 (98,4)</w:t>
            </w:r>
          </w:p>
          <w:p w14:paraId="360D0FF9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E2A9282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162 (82,2)</w:t>
            </w:r>
          </w:p>
          <w:p w14:paraId="324350E8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84 (42,6)</w:t>
            </w:r>
          </w:p>
          <w:p w14:paraId="5B83994A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(2,5)</w:t>
            </w:r>
          </w:p>
          <w:p w14:paraId="629C90E2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(0,5)</w:t>
            </w:r>
          </w:p>
          <w:p w14:paraId="2B6F289C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 (5,6)</w:t>
            </w:r>
          </w:p>
          <w:p w14:paraId="6275C1D6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49 (24,9)</w:t>
            </w:r>
          </w:p>
          <w:p w14:paraId="5A9A0E6D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38 (19,3)</w:t>
            </w:r>
          </w:p>
          <w:p w14:paraId="632843B6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17 (8,6)</w:t>
            </w:r>
          </w:p>
          <w:p w14:paraId="1ABA8E56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39 (19,8)</w:t>
            </w:r>
          </w:p>
          <w:p w14:paraId="01F33E55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153 (77,7)</w:t>
            </w:r>
          </w:p>
          <w:p w14:paraId="6BAAE21F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37 (18,8)</w:t>
            </w:r>
          </w:p>
          <w:p w14:paraId="15B1B5A7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 (3,5)</w:t>
            </w:r>
          </w:p>
        </w:tc>
      </w:tr>
      <w:tr w:rsidR="009B41B8" w:rsidRPr="009B41B8" w14:paraId="61EE9F25" w14:textId="77777777" w:rsidTr="001C33E9">
        <w:trPr>
          <w:trHeight w:val="1158"/>
        </w:trPr>
        <w:tc>
          <w:tcPr>
            <w:tcW w:w="6204" w:type="dxa"/>
          </w:tcPr>
          <w:p w14:paraId="5AF4E4CC" w14:textId="5D9475E3" w:rsidR="009B41B8" w:rsidRPr="009B41B8" w:rsidRDefault="002C09DA" w:rsidP="009B4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C09D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Concomitant therapy 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****</w:t>
            </w:r>
          </w:p>
          <w:p w14:paraId="7FFA4CAF" w14:textId="4B6946E6" w:rsidR="009B41B8" w:rsidRPr="009B41B8" w:rsidRDefault="000C60F1" w:rsidP="009B41B8">
            <w:pPr>
              <w:numPr>
                <w:ilvl w:val="0"/>
                <w:numId w:val="26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  <w:r w:rsidR="002C09DA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ethotrexat</w:t>
            </w:r>
            <w:proofErr w:type="spellEnd"/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2C09D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  <w:p w14:paraId="405CC8F7" w14:textId="28A2C322" w:rsidR="009B41B8" w:rsidRPr="009B41B8" w:rsidRDefault="000C60F1" w:rsidP="009B41B8">
            <w:pPr>
              <w:numPr>
                <w:ilvl w:val="0"/>
                <w:numId w:val="26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</w:t>
            </w:r>
            <w:r w:rsidR="002C09DA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ulfasalazine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2C09D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  <w:p w14:paraId="42967B14" w14:textId="14D45775" w:rsidR="009B41B8" w:rsidRPr="009B41B8" w:rsidRDefault="002C09DA" w:rsidP="009B41B8">
            <w:pPr>
              <w:numPr>
                <w:ilvl w:val="0"/>
                <w:numId w:val="26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C09D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NSAID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  <w:p w14:paraId="21FC95D2" w14:textId="562AE8C4" w:rsidR="009B41B8" w:rsidRPr="009B41B8" w:rsidRDefault="00344E55" w:rsidP="009B41B8">
            <w:pPr>
              <w:numPr>
                <w:ilvl w:val="0"/>
                <w:numId w:val="26"/>
              </w:numPr>
              <w:suppressAutoHyphens/>
              <w:spacing w:line="240" w:lineRule="exact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 w:rsidR="002C09DA" w:rsidRPr="002D00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lucocorticosteroids</w:t>
            </w:r>
            <w:proofErr w:type="spellEnd"/>
            <w:r w:rsidR="002C09D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="009B41B8" w:rsidRPr="009B41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 xml:space="preserve">per </w:t>
            </w:r>
            <w:proofErr w:type="spellStart"/>
            <w:r w:rsidR="009B41B8" w:rsidRPr="009B41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os</w:t>
            </w:r>
            <w:proofErr w:type="spellEnd"/>
            <w:r w:rsidR="002C09D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), abs</w:t>
            </w:r>
            <w:r w:rsidR="009B41B8"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876" w:type="dxa"/>
            <w:noWrap/>
          </w:tcPr>
          <w:p w14:paraId="720C4DD0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D120B10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136 (69,0)</w:t>
            </w:r>
          </w:p>
          <w:p w14:paraId="183F513D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 (3,0)</w:t>
            </w:r>
          </w:p>
          <w:p w14:paraId="501C3E44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121 (61,4)</w:t>
            </w:r>
          </w:p>
          <w:p w14:paraId="668D9DE1" w14:textId="77777777" w:rsidR="009B41B8" w:rsidRPr="009B41B8" w:rsidRDefault="009B41B8" w:rsidP="009B4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B41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 (5,1)</w:t>
            </w:r>
          </w:p>
        </w:tc>
      </w:tr>
    </w:tbl>
    <w:p w14:paraId="50D7E7D5" w14:textId="5A784042" w:rsidR="009B41B8" w:rsidRPr="00344E55" w:rsidRDefault="00D45EA5" w:rsidP="002F207C">
      <w:pPr>
        <w:jc w:val="both"/>
        <w:rPr>
          <w:rFonts w:ascii="Times New Roman" w:hAnsi="Times New Roman" w:cs="Times New Roman"/>
          <w:sz w:val="22"/>
          <w:lang w:val="en-GB"/>
        </w:rPr>
      </w:pPr>
      <w:r w:rsidRPr="00344E55">
        <w:rPr>
          <w:rFonts w:ascii="Times New Roman" w:hAnsi="Times New Roman" w:cs="Times New Roman"/>
          <w:i/>
          <w:sz w:val="22"/>
          <w:lang w:val="en-GB"/>
        </w:rPr>
        <w:t>Note</w:t>
      </w:r>
      <w:r w:rsidR="009B41B8" w:rsidRPr="00344E55">
        <w:rPr>
          <w:rFonts w:ascii="Times New Roman" w:hAnsi="Times New Roman" w:cs="Times New Roman"/>
          <w:i/>
          <w:sz w:val="22"/>
          <w:lang w:val="en-GB"/>
        </w:rPr>
        <w:t>.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 * ― </w:t>
      </w:r>
      <w:r w:rsidR="000C60F1" w:rsidRPr="00344E55">
        <w:rPr>
          <w:rFonts w:ascii="Times New Roman" w:hAnsi="Times New Roman" w:cs="Times New Roman"/>
          <w:sz w:val="22"/>
          <w:lang w:val="en-GB"/>
        </w:rPr>
        <w:t>before treatment with Etanercept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; ** ― </w:t>
      </w:r>
      <w:r w:rsidR="00BD0252" w:rsidRPr="00344E55">
        <w:rPr>
          <w:rFonts w:ascii="Times New Roman" w:hAnsi="Times New Roman" w:cs="Times New Roman"/>
          <w:sz w:val="22"/>
          <w:lang w:val="en-GB"/>
        </w:rPr>
        <w:t>any drugs taken before treatment with Etanercept</w:t>
      </w:r>
      <w:r w:rsidR="00344E55">
        <w:rPr>
          <w:rFonts w:ascii="Times New Roman" w:hAnsi="Times New Roman" w:cs="Times New Roman"/>
          <w:sz w:val="22"/>
          <w:lang w:val="en-GB"/>
        </w:rPr>
        <w:t>; ***</w:t>
      </w:r>
      <w:r w:rsidR="00344E55" w:rsidRPr="00344E55">
        <w:rPr>
          <w:rFonts w:ascii="Times New Roman" w:hAnsi="Times New Roman" w:cs="Times New Roman"/>
          <w:sz w:val="22"/>
          <w:lang w:val="en-US"/>
        </w:rPr>
        <w:t> 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― </w:t>
      </w:r>
      <w:r w:rsidR="00BD0252" w:rsidRPr="00344E55">
        <w:rPr>
          <w:rFonts w:ascii="Times New Roman" w:hAnsi="Times New Roman" w:cs="Times New Roman"/>
          <w:sz w:val="22"/>
          <w:lang w:val="en-GB"/>
        </w:rPr>
        <w:t>Leflunomide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="00BD0252" w:rsidRPr="00344E55">
        <w:rPr>
          <w:rFonts w:ascii="Times New Roman" w:hAnsi="Times New Roman" w:cs="Times New Roman"/>
          <w:sz w:val="22"/>
          <w:lang w:val="en-GB"/>
        </w:rPr>
        <w:t>Cyclophosphamide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="00BD0252" w:rsidRPr="00344E55">
        <w:rPr>
          <w:rFonts w:ascii="Times New Roman" w:hAnsi="Times New Roman" w:cs="Times New Roman"/>
          <w:sz w:val="22"/>
          <w:lang w:val="en-GB"/>
        </w:rPr>
        <w:t>Hydroxychloroquine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="00BD0252" w:rsidRPr="00344E55">
        <w:rPr>
          <w:rFonts w:ascii="Times New Roman" w:hAnsi="Times New Roman" w:cs="Times New Roman"/>
          <w:sz w:val="22"/>
          <w:lang w:val="en-GB"/>
        </w:rPr>
        <w:t>Sulfasalazine and/or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 </w:t>
      </w:r>
      <w:r w:rsidR="00BD0252" w:rsidRPr="00344E55">
        <w:rPr>
          <w:rFonts w:ascii="Times New Roman" w:hAnsi="Times New Roman" w:cs="Times New Roman"/>
          <w:sz w:val="22"/>
          <w:lang w:val="en-GB"/>
        </w:rPr>
        <w:t>Cyclosporine</w:t>
      </w:r>
      <w:r w:rsidR="00344E55">
        <w:rPr>
          <w:rFonts w:ascii="Times New Roman" w:hAnsi="Times New Roman" w:cs="Times New Roman"/>
          <w:sz w:val="22"/>
          <w:lang w:val="en-GB"/>
        </w:rPr>
        <w:t>; ****</w:t>
      </w:r>
      <w:r w:rsidR="00344E55" w:rsidRPr="00344E55">
        <w:rPr>
          <w:rFonts w:ascii="Times New Roman" w:hAnsi="Times New Roman" w:cs="Times New Roman"/>
          <w:sz w:val="22"/>
          <w:lang w:val="en-US"/>
        </w:rPr>
        <w:t> 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― </w:t>
      </w:r>
      <w:r w:rsidR="00BD0252" w:rsidRPr="00344E55">
        <w:rPr>
          <w:rFonts w:ascii="Times New Roman" w:hAnsi="Times New Roman" w:cs="Times New Roman"/>
          <w:sz w:val="22"/>
          <w:lang w:val="en-GB"/>
        </w:rPr>
        <w:t>drugs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 </w:t>
      </w:r>
      <w:r w:rsidR="00BD0252" w:rsidRPr="00344E55">
        <w:rPr>
          <w:rFonts w:ascii="Times New Roman" w:hAnsi="Times New Roman" w:cs="Times New Roman"/>
          <w:sz w:val="22"/>
          <w:lang w:val="en-GB"/>
        </w:rPr>
        <w:t>taken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 </w:t>
      </w:r>
      <w:r w:rsidR="00BD0252" w:rsidRPr="00344E55">
        <w:rPr>
          <w:rFonts w:ascii="Times New Roman" w:hAnsi="Times New Roman" w:cs="Times New Roman"/>
          <w:sz w:val="22"/>
          <w:lang w:val="en-GB"/>
        </w:rPr>
        <w:t>on the start of treatment with Etanercept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. </w:t>
      </w:r>
      <w:r w:rsidR="00BD0252" w:rsidRPr="00344E55">
        <w:rPr>
          <w:rFonts w:ascii="Times New Roman" w:hAnsi="Times New Roman" w:cs="Times New Roman"/>
          <w:sz w:val="22"/>
          <w:lang w:val="en-GB"/>
        </w:rPr>
        <w:t>JIA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 ― </w:t>
      </w:r>
      <w:r w:rsidR="00BD0252" w:rsidRPr="00344E55">
        <w:rPr>
          <w:rFonts w:ascii="Times New Roman" w:hAnsi="Times New Roman" w:cs="Times New Roman"/>
          <w:sz w:val="22"/>
          <w:lang w:val="en-GB"/>
        </w:rPr>
        <w:t xml:space="preserve">juvenile </w:t>
      </w:r>
      <w:proofErr w:type="spellStart"/>
      <w:r w:rsidR="00BD0252" w:rsidRPr="00344E55">
        <w:rPr>
          <w:rFonts w:ascii="Times New Roman" w:hAnsi="Times New Roman" w:cs="Times New Roman"/>
          <w:sz w:val="22"/>
          <w:lang w:val="en-GB"/>
        </w:rPr>
        <w:t>idiopatic</w:t>
      </w:r>
      <w:proofErr w:type="spellEnd"/>
      <w:r w:rsidR="00BD0252" w:rsidRPr="00344E55">
        <w:rPr>
          <w:rFonts w:ascii="Times New Roman" w:hAnsi="Times New Roman" w:cs="Times New Roman"/>
          <w:sz w:val="22"/>
          <w:lang w:val="en-GB"/>
        </w:rPr>
        <w:t xml:space="preserve"> arthritis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="008032C2">
        <w:rPr>
          <w:rFonts w:ascii="Times New Roman" w:hAnsi="Times New Roman" w:cs="Times New Roman"/>
          <w:sz w:val="22"/>
          <w:lang w:val="en-GB"/>
        </w:rPr>
        <w:t>GEBD</w:t>
      </w:r>
      <w:r w:rsidR="008032C2" w:rsidRPr="008032C2">
        <w:rPr>
          <w:rFonts w:ascii="Times New Roman" w:hAnsi="Times New Roman" w:cs="Times New Roman"/>
          <w:sz w:val="22"/>
          <w:lang w:val="en-US"/>
        </w:rPr>
        <w:t> 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― </w:t>
      </w:r>
      <w:r w:rsidR="002D0003" w:rsidRPr="00344E55">
        <w:rPr>
          <w:rFonts w:ascii="Times New Roman" w:hAnsi="Times New Roman" w:cs="Times New Roman"/>
          <w:sz w:val="22"/>
          <w:lang w:val="en-GB"/>
        </w:rPr>
        <w:t>genetically engineered biologic drugs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, </w:t>
      </w:r>
      <w:r w:rsidR="002D0003" w:rsidRPr="00344E55">
        <w:rPr>
          <w:rFonts w:ascii="Times New Roman" w:hAnsi="Times New Roman" w:cs="Times New Roman"/>
          <w:sz w:val="22"/>
          <w:lang w:val="en-GB"/>
        </w:rPr>
        <w:t xml:space="preserve">NSAID </w:t>
      </w:r>
      <w:r w:rsidR="009B41B8" w:rsidRPr="00344E55">
        <w:rPr>
          <w:rFonts w:ascii="Times New Roman" w:hAnsi="Times New Roman" w:cs="Times New Roman"/>
          <w:sz w:val="22"/>
          <w:lang w:val="en-GB"/>
        </w:rPr>
        <w:t xml:space="preserve">― </w:t>
      </w:r>
      <w:r w:rsidR="002D0003" w:rsidRPr="00344E55">
        <w:rPr>
          <w:rFonts w:ascii="Times New Roman" w:hAnsi="Times New Roman" w:cs="Times New Roman"/>
          <w:sz w:val="22"/>
          <w:lang w:val="en-GB"/>
        </w:rPr>
        <w:t>non-steroidal anti-inflammatory drug</w:t>
      </w:r>
      <w:r w:rsidR="009B41B8" w:rsidRPr="00344E55">
        <w:rPr>
          <w:rFonts w:ascii="Times New Roman" w:hAnsi="Times New Roman" w:cs="Times New Roman"/>
          <w:sz w:val="22"/>
          <w:lang w:val="en-GB"/>
        </w:rPr>
        <w:t>.</w:t>
      </w:r>
    </w:p>
    <w:p w14:paraId="359994ED" w14:textId="77777777" w:rsidR="0092700D" w:rsidRPr="001C33E9" w:rsidRDefault="0092700D" w:rsidP="002F207C">
      <w:pPr>
        <w:jc w:val="both"/>
        <w:rPr>
          <w:rFonts w:ascii="Times New Roman" w:hAnsi="Times New Roman" w:cs="Times New Roman"/>
          <w:lang w:val="en-GB"/>
        </w:rPr>
      </w:pPr>
    </w:p>
    <w:p w14:paraId="6EC4F865" w14:textId="3068AD5F" w:rsidR="0039028F" w:rsidRPr="0039028F" w:rsidRDefault="005318FB" w:rsidP="0039028F">
      <w:pPr>
        <w:pageBreakBefore/>
        <w:jc w:val="both"/>
        <w:rPr>
          <w:rFonts w:ascii="Times New Roman" w:hAnsi="Times New Roman" w:cs="Times New Roman"/>
          <w:lang w:val="en-GB"/>
        </w:rPr>
      </w:pPr>
      <w:r w:rsidRPr="005318FB">
        <w:rPr>
          <w:rFonts w:ascii="Times New Roman" w:hAnsi="Times New Roman" w:cs="Times New Roman"/>
          <w:b/>
          <w:lang w:val="en-GB"/>
        </w:rPr>
        <w:lastRenderedPageBreak/>
        <w:t>Table</w:t>
      </w:r>
      <w:r w:rsidRPr="004A5E2D">
        <w:rPr>
          <w:rFonts w:ascii="Times New Roman" w:hAnsi="Times New Roman" w:cs="Times New Roman"/>
          <w:b/>
          <w:lang w:val="en-US"/>
        </w:rPr>
        <w:t> </w:t>
      </w:r>
      <w:r w:rsidR="00D13E08" w:rsidRPr="005318FB">
        <w:rPr>
          <w:rFonts w:ascii="Times New Roman" w:hAnsi="Times New Roman" w:cs="Times New Roman"/>
          <w:b/>
          <w:lang w:val="en-GB"/>
        </w:rPr>
        <w:t>3</w:t>
      </w:r>
      <w:r w:rsidR="00D13E08" w:rsidRPr="0039028F">
        <w:rPr>
          <w:rFonts w:ascii="Times New Roman" w:hAnsi="Times New Roman" w:cs="Times New Roman"/>
          <w:lang w:val="en-GB"/>
        </w:rPr>
        <w:t xml:space="preserve">. </w:t>
      </w:r>
      <w:r w:rsidR="0039028F" w:rsidRPr="0039028F">
        <w:rPr>
          <w:rFonts w:ascii="Times New Roman" w:hAnsi="Times New Roman" w:cs="Times New Roman"/>
          <w:lang w:val="en-GB"/>
        </w:rPr>
        <w:t>Dynamics of clinical and laboratory indicators of JIA activity initially and after a month of treatment with Etanercept</w:t>
      </w: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4219"/>
        <w:gridCol w:w="1701"/>
        <w:gridCol w:w="1418"/>
        <w:gridCol w:w="1417"/>
        <w:gridCol w:w="709"/>
      </w:tblGrid>
      <w:tr w:rsidR="0039028F" w:rsidRPr="0039028F" w14:paraId="30128202" w14:textId="77777777" w:rsidTr="002546EB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4A35" w14:textId="4EC4D82A" w:rsidR="0039028F" w:rsidRPr="0039028F" w:rsidRDefault="0039028F" w:rsidP="002546E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C6DE" w14:textId="3C2915F4" w:rsidR="0039028F" w:rsidRPr="0039028F" w:rsidRDefault="0039028F" w:rsidP="002546E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Initially*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16E7" w14:textId="43924F83" w:rsidR="0039028F" w:rsidRPr="0039028F" w:rsidRDefault="0039028F" w:rsidP="002546E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After 1 month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7742" w14:textId="752B1C02" w:rsidR="0039028F" w:rsidRPr="0039028F" w:rsidRDefault="002546EB" w:rsidP="002546E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Delta</w:t>
            </w:r>
            <w:r w:rsidR="0039028F" w:rsidRPr="0039028F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E290" w14:textId="77777777" w:rsidR="0039028F" w:rsidRPr="0039028F" w:rsidRDefault="0039028F" w:rsidP="002546EB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  <w:t>p</w:t>
            </w:r>
          </w:p>
        </w:tc>
      </w:tr>
      <w:tr w:rsidR="0039028F" w:rsidRPr="0039028F" w14:paraId="4FDF7763" w14:textId="77777777" w:rsidTr="0039028F">
        <w:trPr>
          <w:trHeight w:val="5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C72" w14:textId="13CAEC8B" w:rsidR="0039028F" w:rsidRPr="0039028F" w:rsidRDefault="002546EB" w:rsidP="0039028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ESR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mm/h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15376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21 (12; 35)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ABBC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10 (5; 16)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82B47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9 (3; 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6C8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657C42DB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DE9" w14:textId="6945BED7" w:rsidR="0039028F" w:rsidRPr="0039028F" w:rsidRDefault="002546EB" w:rsidP="002546E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C-reactive protein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mg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B188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6,6 (1,9; 19,7)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78BC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1 (0; 4,6)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FA554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5,3 (1; 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9F9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79FEA71E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BDBF" w14:textId="460B64BF" w:rsidR="0039028F" w:rsidRPr="0039028F" w:rsidRDefault="002546EB" w:rsidP="002546E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Duration of </w:t>
            </w: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morning stiffness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41B1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30 (0; 60)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2680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 (0; 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FD86F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30 (0; 60)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5A8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76AEEF42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8FA" w14:textId="47459285" w:rsidR="0039028F" w:rsidRPr="0039028F" w:rsidRDefault="002546EB" w:rsidP="002546E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T</w:t>
            </w: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ender joint count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DB0E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4 (2;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98ED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 (0; 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AB37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3 (1; 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522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22F452BB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2E0" w14:textId="138B206A" w:rsidR="0039028F" w:rsidRPr="0039028F" w:rsidRDefault="002546EB" w:rsidP="002546E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Swollen joint count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346D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4 (2;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3D9F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2 (0; 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ED8B3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2 (0;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FFF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6114CD9D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824A" w14:textId="2061D9D0" w:rsidR="0039028F" w:rsidRPr="0039028F" w:rsidRDefault="002546EB" w:rsidP="002546E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Joint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with </w:t>
            </w: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motion decrease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count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106C3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4 (2; 11)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0AF4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2 (1; 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A219C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 (0;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7E4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2798D8F9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B2E" w14:textId="39A41375" w:rsidR="0039028F" w:rsidRPr="0039028F" w:rsidRDefault="002546EB" w:rsidP="002546E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Active joint count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B3A2C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4 (2; 10)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8A91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2 (0; 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7BBAF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2 (0; 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0EB3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2409A9B5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A2C" w14:textId="3B7B5D73" w:rsidR="0039028F" w:rsidRPr="0039028F" w:rsidRDefault="008A05D7" w:rsidP="008A05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Illness activity estimation according to VAS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doctor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78EE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60 (45; 80)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E5C1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28 (18; 40)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AE5CC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30 (16; 47)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8964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6E4D0063" w14:textId="77777777" w:rsidTr="0039028F">
        <w:trPr>
          <w:trHeight w:val="5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948" w14:textId="7ADBE594" w:rsidR="0039028F" w:rsidRPr="0039028F" w:rsidRDefault="008A05D7" w:rsidP="008A05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Health</w:t>
            </w:r>
            <w:r w:rsidRPr="008A05D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assessment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according to VAS</w:t>
            </w: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parent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patient</w:t>
            </w:r>
            <w:r w:rsidR="0039028F"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3F4B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68 (50; 82,5)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0CAA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32 (18; 46)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9CF97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31 (17; 46)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BB09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4B24577A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80B" w14:textId="56B8C05C" w:rsidR="0039028F" w:rsidRPr="0039028F" w:rsidRDefault="0039028F" w:rsidP="008A05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CHAQ, </w:t>
            </w:r>
            <w:r w:rsidR="008A05D7">
              <w:rPr>
                <w:rFonts w:ascii="Times New Roman" w:hAnsi="Times New Roman"/>
                <w:sz w:val="20"/>
                <w:szCs w:val="20"/>
                <w:lang w:val="en-GB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DE10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1,3 (0,5; 1,9)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CAE7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0,3 (0,1; 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BD783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0,5 (0,3;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D08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  <w:tr w:rsidR="0039028F" w:rsidRPr="0039028F" w14:paraId="2B8A2BF4" w14:textId="77777777" w:rsidTr="0039028F">
        <w:trPr>
          <w:trHeight w:val="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1CF" w14:textId="27C4507C" w:rsidR="0039028F" w:rsidRPr="0039028F" w:rsidRDefault="0039028F" w:rsidP="008A05D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JADAS71, </w:t>
            </w:r>
            <w:r w:rsidR="008A05D7">
              <w:rPr>
                <w:rFonts w:ascii="Times New Roman" w:hAnsi="Times New Roman"/>
                <w:sz w:val="20"/>
                <w:szCs w:val="20"/>
                <w:lang w:val="en-GB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231F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19,2 (13,8; 28,5)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3CB2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8,1 (5; 14,9)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49BD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9,8 (5,3; 14,8)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FAB" w14:textId="77777777" w:rsidR="0039028F" w:rsidRPr="0039028F" w:rsidRDefault="0039028F" w:rsidP="003902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9028F">
              <w:rPr>
                <w:rFonts w:ascii="Times New Roman" w:hAnsi="Times New Roman"/>
                <w:sz w:val="20"/>
                <w:szCs w:val="20"/>
                <w:lang w:val="en-GB"/>
              </w:rPr>
              <w:t>0,001</w:t>
            </w:r>
          </w:p>
        </w:tc>
      </w:tr>
    </w:tbl>
    <w:p w14:paraId="5A5CA669" w14:textId="00369F2A" w:rsidR="009B41B8" w:rsidRPr="005318FB" w:rsidRDefault="005318FB" w:rsidP="002F207C">
      <w:pPr>
        <w:jc w:val="both"/>
        <w:rPr>
          <w:rFonts w:ascii="Times New Roman" w:hAnsi="Times New Roman" w:cs="Times New Roman"/>
          <w:sz w:val="22"/>
          <w:lang w:val="en-US"/>
        </w:rPr>
      </w:pPr>
      <w:r w:rsidRPr="005318FB">
        <w:rPr>
          <w:rFonts w:ascii="Times New Roman" w:hAnsi="Times New Roman" w:cs="Times New Roman"/>
          <w:i/>
          <w:sz w:val="22"/>
          <w:lang w:val="en-GB"/>
        </w:rPr>
        <w:t>Note</w:t>
      </w:r>
      <w:r w:rsidR="0039028F" w:rsidRPr="005318FB">
        <w:rPr>
          <w:rFonts w:ascii="Times New Roman" w:hAnsi="Times New Roman" w:cs="Times New Roman"/>
          <w:i/>
          <w:sz w:val="22"/>
          <w:lang w:val="en-GB"/>
        </w:rPr>
        <w:t>.</w:t>
      </w:r>
      <w:r w:rsidR="0039028F" w:rsidRPr="005318FB">
        <w:rPr>
          <w:rFonts w:ascii="Times New Roman" w:hAnsi="Times New Roman" w:cs="Times New Roman"/>
          <w:sz w:val="22"/>
          <w:lang w:val="en-GB"/>
        </w:rPr>
        <w:t xml:space="preserve"> * ― </w:t>
      </w:r>
      <w:r w:rsidR="006D5626" w:rsidRPr="005318FB">
        <w:rPr>
          <w:rFonts w:ascii="Times New Roman" w:hAnsi="Times New Roman" w:cs="Times New Roman"/>
          <w:sz w:val="22"/>
          <w:lang w:val="en-GB"/>
        </w:rPr>
        <w:t>at start of</w:t>
      </w:r>
      <w:r w:rsidR="0039028F" w:rsidRPr="005318FB">
        <w:rPr>
          <w:rFonts w:ascii="Times New Roman" w:hAnsi="Times New Roman" w:cs="Times New Roman"/>
          <w:sz w:val="22"/>
          <w:lang w:val="en-GB"/>
        </w:rPr>
        <w:t xml:space="preserve"> </w:t>
      </w:r>
      <w:r w:rsidR="006D5626" w:rsidRPr="005318FB">
        <w:rPr>
          <w:rFonts w:ascii="Times New Roman" w:hAnsi="Times New Roman" w:cs="Times New Roman"/>
          <w:sz w:val="22"/>
          <w:lang w:val="en-GB"/>
        </w:rPr>
        <w:t>treatment with Etanercept</w:t>
      </w:r>
      <w:r w:rsidR="0039028F" w:rsidRPr="005318FB">
        <w:rPr>
          <w:rFonts w:ascii="Times New Roman" w:hAnsi="Times New Roman" w:cs="Times New Roman"/>
          <w:sz w:val="22"/>
          <w:lang w:val="en-GB"/>
        </w:rPr>
        <w:t xml:space="preserve">; ** ― </w:t>
      </w:r>
      <w:r w:rsidR="006D5626" w:rsidRPr="005318FB">
        <w:rPr>
          <w:rFonts w:ascii="Times New Roman" w:hAnsi="Times New Roman" w:cs="Times New Roman"/>
          <w:sz w:val="22"/>
          <w:lang w:val="en-GB"/>
        </w:rPr>
        <w:t xml:space="preserve">delta between initial level and level </w:t>
      </w:r>
      <w:r w:rsidRPr="005318FB">
        <w:rPr>
          <w:rFonts w:ascii="Times New Roman" w:hAnsi="Times New Roman" w:cs="Times New Roman"/>
          <w:sz w:val="22"/>
          <w:lang w:val="en-GB"/>
        </w:rPr>
        <w:t>after 1 month of the treatment.</w:t>
      </w:r>
    </w:p>
    <w:p w14:paraId="383925B2" w14:textId="77777777" w:rsidR="006D5626" w:rsidRPr="0039028F" w:rsidRDefault="006D5626" w:rsidP="002F207C">
      <w:pPr>
        <w:jc w:val="both"/>
        <w:rPr>
          <w:rFonts w:ascii="Times New Roman" w:hAnsi="Times New Roman" w:cs="Times New Roman"/>
          <w:lang w:val="en-GB"/>
        </w:rPr>
      </w:pPr>
    </w:p>
    <w:p w14:paraId="031237D2" w14:textId="393035B7" w:rsidR="00D13E08" w:rsidRPr="00010C4D" w:rsidRDefault="005318FB" w:rsidP="002F207C">
      <w:pPr>
        <w:jc w:val="both"/>
        <w:rPr>
          <w:rFonts w:ascii="Times New Roman" w:hAnsi="Times New Roman" w:cs="Times New Roman"/>
          <w:lang w:val="en-GB"/>
        </w:rPr>
      </w:pPr>
      <w:r w:rsidRPr="005318FB">
        <w:rPr>
          <w:rFonts w:ascii="Times New Roman" w:hAnsi="Times New Roman" w:cs="Times New Roman"/>
          <w:b/>
          <w:lang w:val="en-GB"/>
        </w:rPr>
        <w:t>Table</w:t>
      </w:r>
      <w:r w:rsidRPr="005318FB">
        <w:rPr>
          <w:rFonts w:ascii="Times New Roman" w:hAnsi="Times New Roman" w:cs="Times New Roman"/>
          <w:b/>
          <w:lang w:val="en-US"/>
        </w:rPr>
        <w:t> </w:t>
      </w:r>
      <w:r w:rsidR="00616355" w:rsidRPr="005318FB">
        <w:rPr>
          <w:rFonts w:ascii="Times New Roman" w:hAnsi="Times New Roman" w:cs="Times New Roman"/>
          <w:b/>
          <w:lang w:val="en-GB"/>
        </w:rPr>
        <w:t>4</w:t>
      </w:r>
      <w:r w:rsidR="00616355" w:rsidRPr="00010C4D">
        <w:rPr>
          <w:rFonts w:ascii="Times New Roman" w:hAnsi="Times New Roman" w:cs="Times New Roman"/>
          <w:lang w:val="en-GB"/>
        </w:rPr>
        <w:t>. Predictors for remission achievement in patients with JIA without</w:t>
      </w:r>
      <w:r>
        <w:rPr>
          <w:rFonts w:ascii="Times New Roman" w:hAnsi="Times New Roman" w:cs="Times New Roman"/>
          <w:lang w:val="en-GB"/>
        </w:rPr>
        <w:t xml:space="preserve"> systematic manifestations (</w:t>
      </w:r>
      <w:r w:rsidRPr="005318FB">
        <w:rPr>
          <w:rFonts w:ascii="Times New Roman" w:hAnsi="Times New Roman" w:cs="Times New Roman"/>
          <w:i/>
          <w:lang w:val="en-GB"/>
        </w:rPr>
        <w:t>n</w:t>
      </w:r>
      <w:r w:rsidRPr="005318FB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lang w:val="en-GB"/>
        </w:rPr>
        <w:t>=</w:t>
      </w:r>
      <w:r w:rsidR="00616355" w:rsidRPr="00010C4D">
        <w:rPr>
          <w:rFonts w:ascii="Times New Roman" w:hAnsi="Times New Roman" w:cs="Times New Roman"/>
          <w:lang w:val="en-GB"/>
        </w:rPr>
        <w:t xml:space="preserve">197) after 12 months of treatment included Etanercept: results of </w:t>
      </w:r>
      <w:r w:rsidR="00010C4D" w:rsidRPr="00010C4D">
        <w:rPr>
          <w:rFonts w:ascii="Times New Roman" w:hAnsi="Times New Roman" w:cs="Times New Roman"/>
          <w:lang w:val="en-GB"/>
        </w:rPr>
        <w:t>univariate logistic regression analysis</w:t>
      </w:r>
    </w:p>
    <w:tbl>
      <w:tblPr>
        <w:tblW w:w="9083" w:type="dxa"/>
        <w:tblInd w:w="93" w:type="dxa"/>
        <w:tblLook w:val="04A0" w:firstRow="1" w:lastRow="0" w:firstColumn="1" w:lastColumn="0" w:noHBand="0" w:noVBand="1"/>
      </w:tblPr>
      <w:tblGrid>
        <w:gridCol w:w="6111"/>
        <w:gridCol w:w="2126"/>
        <w:gridCol w:w="846"/>
      </w:tblGrid>
      <w:tr w:rsidR="00010C4D" w:rsidRPr="00010C4D" w14:paraId="31155CC6" w14:textId="77777777" w:rsidTr="00750159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2D1" w14:textId="53C7F8B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B342" w14:textId="61E331C3" w:rsidR="00010C4D" w:rsidRPr="00010C4D" w:rsidRDefault="00010C4D" w:rsidP="00010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C1D2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/>
              </w:rPr>
              <w:t>р</w:t>
            </w:r>
          </w:p>
        </w:tc>
      </w:tr>
      <w:tr w:rsidR="00010C4D" w:rsidRPr="00010C4D" w14:paraId="073C323D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D659" w14:textId="287550F9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Female gender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D393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2,21 (1,15–4,38)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D92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0,019</w:t>
            </w:r>
          </w:p>
        </w:tc>
      </w:tr>
      <w:tr w:rsidR="00010C4D" w:rsidRPr="00010C4D" w14:paraId="32DA93B6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0A7B" w14:textId="3F245823" w:rsidR="00010C4D" w:rsidRPr="00010C4D" w:rsidRDefault="00010C4D" w:rsidP="00010C4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RF negative polyarthritis (initially)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CCA1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0,39 (0,20–0,75)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FBF5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0,006</w:t>
            </w:r>
          </w:p>
        </w:tc>
      </w:tr>
      <w:tr w:rsidR="00010C4D" w:rsidRPr="00010C4D" w14:paraId="2E43CFF5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7F52" w14:textId="60E05014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Persisting </w:t>
            </w:r>
            <w:proofErr w:type="spellStart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oligoarthritis</w:t>
            </w:r>
            <w:proofErr w:type="spellEnd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(initially)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0F5E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2,67 (1,49–4,85)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6F89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  <w:tr w:rsidR="00010C4D" w:rsidRPr="00010C4D" w14:paraId="181E577C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C723" w14:textId="6D1217E1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E</w:t>
            </w: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nthesitis</w:t>
            </w:r>
            <w:proofErr w:type="spellEnd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-related arthritis (initially)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8174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0,48 (0,17–1,21)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CD0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0,138</w:t>
            </w:r>
          </w:p>
        </w:tc>
      </w:tr>
      <w:tr w:rsidR="00010C4D" w:rsidRPr="00010C4D" w14:paraId="60F020FC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F20F" w14:textId="0D04AD08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JIA onset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1B44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0,94 (0,87–1,02)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D62B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0,156</w:t>
            </w:r>
          </w:p>
        </w:tc>
      </w:tr>
      <w:tr w:rsidR="00010C4D" w:rsidRPr="00010C4D" w14:paraId="48AFFA31" w14:textId="77777777" w:rsidTr="00750159">
        <w:trPr>
          <w:trHeight w:val="300"/>
        </w:trPr>
        <w:tc>
          <w:tcPr>
            <w:tcW w:w="9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5CED" w14:textId="3F7CFB1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Prior therapy</w:t>
            </w:r>
          </w:p>
        </w:tc>
      </w:tr>
      <w:tr w:rsidR="00010C4D" w:rsidRPr="00010C4D" w14:paraId="1801D58D" w14:textId="77777777" w:rsidTr="00750159">
        <w:trPr>
          <w:trHeight w:val="17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FAA7" w14:textId="6AFBA163" w:rsidR="00010C4D" w:rsidRPr="00010C4D" w:rsidRDefault="00010C4D" w:rsidP="00010C4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Number</w:t>
            </w: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DMARD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except </w:t>
            </w:r>
            <w:proofErr w:type="spellStart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Methotrexat</w:t>
            </w:r>
            <w:proofErr w:type="spellEnd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8BC4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0,37 </w:t>
            </w:r>
            <w:r w:rsidRPr="00010C4D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(0,21–0,60)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D9C4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  <w:tr w:rsidR="00010C4D" w:rsidRPr="00010C4D" w14:paraId="153EDAE4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2F2F" w14:textId="5F53351E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DMARD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except </w:t>
            </w:r>
            <w:proofErr w:type="spellStart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Methotrexat</w:t>
            </w:r>
            <w:proofErr w:type="spellEnd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E7F5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0,34 (0,18–0,62)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593A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  <w:tr w:rsidR="00010C4D" w:rsidRPr="00010C4D" w14:paraId="52477D32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27FC" w14:textId="77B6C518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Oral </w:t>
            </w:r>
            <w:proofErr w:type="spellStart"/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glucocorticosteroids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924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0,48 (0,21–0,95)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A590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0,063</w:t>
            </w:r>
          </w:p>
        </w:tc>
      </w:tr>
      <w:tr w:rsidR="00010C4D" w:rsidRPr="00010C4D" w14:paraId="06330982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D8FC" w14:textId="50D0CB59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GEBD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EBA7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0,51 (0,24–1,04)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30AC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0,071</w:t>
            </w:r>
          </w:p>
        </w:tc>
      </w:tr>
      <w:tr w:rsidR="00010C4D" w:rsidRPr="00010C4D" w14:paraId="5C4F389F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7D97" w14:textId="101208EA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Sulfasalazine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00FF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0,61 (0,30–1,20)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E2EC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0,163</w:t>
            </w:r>
          </w:p>
        </w:tc>
      </w:tr>
      <w:tr w:rsidR="00010C4D" w:rsidRPr="004A5E2D" w14:paraId="2B2370E2" w14:textId="77777777" w:rsidTr="00750159">
        <w:trPr>
          <w:trHeight w:val="300"/>
        </w:trPr>
        <w:tc>
          <w:tcPr>
            <w:tcW w:w="9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1CA2" w14:textId="4676B4AE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 xml:space="preserve">Indicators at the start of </w:t>
            </w:r>
            <w:r w:rsidR="00750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treatment</w:t>
            </w:r>
          </w:p>
        </w:tc>
      </w:tr>
      <w:tr w:rsidR="00010C4D" w:rsidRPr="00010C4D" w14:paraId="1417796E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5583" w14:textId="26AE5501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Patient 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3A0A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0,90 (0,84–0,96)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54FD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0,002</w:t>
            </w:r>
          </w:p>
        </w:tc>
      </w:tr>
      <w:tr w:rsidR="00010C4D" w:rsidRPr="00010C4D" w14:paraId="469B8D67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3A77" w14:textId="5A8963E8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JIA duration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C857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0,86 (0,77–0,95)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74AA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0,005</w:t>
            </w:r>
          </w:p>
        </w:tc>
      </w:tr>
      <w:tr w:rsidR="00010C4D" w:rsidRPr="00010C4D" w14:paraId="72D451FC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749E" w14:textId="3A4786DC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Active joint count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C730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0,94 (0,90–0,98)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498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0,004</w:t>
            </w:r>
          </w:p>
        </w:tc>
      </w:tr>
      <w:tr w:rsidR="00010C4D" w:rsidRPr="00010C4D" w14:paraId="3DCAB4B5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76C" w14:textId="7A333DC4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Duration of morning stiffness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7335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0,991 (0,985–0,996)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A473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0,002</w:t>
            </w:r>
          </w:p>
        </w:tc>
      </w:tr>
      <w:tr w:rsidR="00010C4D" w:rsidRPr="00010C4D" w14:paraId="44C3DD4D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0EF" w14:textId="38CFA493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Joint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with </w:t>
            </w: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motion decrease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count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7BF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0,94 (0,90–0,97)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59B1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0,002</w:t>
            </w:r>
          </w:p>
        </w:tc>
      </w:tr>
      <w:tr w:rsidR="00010C4D" w:rsidRPr="00010C4D" w14:paraId="7C8BEB12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B282" w14:textId="7452BC3E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T</w:t>
            </w: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ender joint count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EF69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0,92 (0,87–0,96)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3BE0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  <w:tr w:rsidR="00010C4D" w:rsidRPr="00010C4D" w14:paraId="5F514A83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48E" w14:textId="16444831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Swollen joint count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8E88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0,95 (0,90–0,98)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D42B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0,011</w:t>
            </w:r>
          </w:p>
        </w:tc>
      </w:tr>
      <w:tr w:rsidR="00010C4D" w:rsidRPr="00010C4D" w14:paraId="2CF721AE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7C13" w14:textId="06AF2903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ESR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1BD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0,991 (0,976–1,004)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4B85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0,188</w:t>
            </w:r>
          </w:p>
        </w:tc>
      </w:tr>
      <w:tr w:rsidR="00010C4D" w:rsidRPr="00010C4D" w14:paraId="1D4C0EFB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ED6D" w14:textId="54A9399F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094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0,989 (0,976–0,999)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872A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0,056</w:t>
            </w:r>
          </w:p>
        </w:tc>
      </w:tr>
      <w:tr w:rsidR="00010C4D" w:rsidRPr="00010C4D" w14:paraId="28CDC903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79EB" w14:textId="11A3C531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nitial i</w:t>
            </w:r>
            <w:r w:rsidRP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llness activity estimation according to VAS (doctor)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F1D5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0,987 (0,973–1,001)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3A78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0,08</w:t>
            </w:r>
          </w:p>
        </w:tc>
      </w:tr>
      <w:tr w:rsidR="00010C4D" w:rsidRPr="00010C4D" w14:paraId="52D93960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5380" w14:textId="76DC4499" w:rsidR="00010C4D" w:rsidRPr="00750159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CHAQ</w:t>
            </w:r>
            <w:r w:rsid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index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466A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0,69 (0,47–1,01)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4685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0,057</w:t>
            </w:r>
          </w:p>
        </w:tc>
      </w:tr>
      <w:tr w:rsidR="00010C4D" w:rsidRPr="00010C4D" w14:paraId="5E77CA4B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8A4" w14:textId="78E1D552" w:rsidR="00010C4D" w:rsidRPr="00010C4D" w:rsidRDefault="00010C4D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JADAS71</w:t>
            </w:r>
            <w:r w:rsid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index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393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0,96 (0,93–0,98)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031A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0,003</w:t>
            </w:r>
          </w:p>
        </w:tc>
      </w:tr>
      <w:tr w:rsidR="00010C4D" w:rsidRPr="00010C4D" w14:paraId="187B0442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4E2" w14:textId="3CDFBA4A" w:rsidR="00010C4D" w:rsidRPr="00010C4D" w:rsidRDefault="00750159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</w:t>
            </w:r>
            <w:r w:rsidRP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oncomitant treatment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with </w:t>
            </w:r>
            <w:proofErr w:type="spellStart"/>
            <w:r w:rsidRPr="0075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Methotrexat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82AF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0,95 (0,92–0,99)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295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0,011</w:t>
            </w:r>
          </w:p>
        </w:tc>
      </w:tr>
      <w:tr w:rsidR="00010C4D" w:rsidRPr="004A5E2D" w14:paraId="56972CA9" w14:textId="77777777" w:rsidTr="00750159">
        <w:trPr>
          <w:trHeight w:val="300"/>
        </w:trPr>
        <w:tc>
          <w:tcPr>
            <w:tcW w:w="90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218E" w14:textId="04411153" w:rsidR="00010C4D" w:rsidRPr="00010C4D" w:rsidRDefault="00750159" w:rsidP="007501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Indicators</w:t>
            </w:r>
            <w:r w:rsidR="00010C4D" w:rsidRPr="00010C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after 1 month of treatment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</w:tr>
      <w:tr w:rsidR="00010C4D" w:rsidRPr="00010C4D" w14:paraId="4671E44C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4B4" w14:textId="07595340" w:rsidR="00010C4D" w:rsidRPr="00010C4D" w:rsidRDefault="0041401B" w:rsidP="0041401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Change in </w:t>
            </w:r>
            <w:r w:rsidRPr="0041401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medical condition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estimation according to VAS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parent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patient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80AF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1,018 (1,005–1,033)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8242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0,009</w:t>
            </w:r>
          </w:p>
        </w:tc>
      </w:tr>
      <w:tr w:rsidR="00010C4D" w:rsidRPr="00010C4D" w14:paraId="7BAFB7CD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1054" w14:textId="76BD8039" w:rsidR="00010C4D" w:rsidRPr="00010C4D" w:rsidRDefault="0041401B" w:rsidP="0041401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Change in </w:t>
            </w:r>
            <w:r w:rsidRPr="0041401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medical condition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estimation according to VAS</w:t>
            </w: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doctor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1C64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1,018 (1,004–1,033)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F2CE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0,014</w:t>
            </w:r>
          </w:p>
        </w:tc>
      </w:tr>
      <w:tr w:rsidR="00010C4D" w:rsidRPr="00010C4D" w14:paraId="7678F6FD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340D" w14:textId="31BE2622" w:rsidR="00010C4D" w:rsidRPr="00010C4D" w:rsidRDefault="0041401B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Change in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41401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morning stiffness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duration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A4DF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0,993 (0,987–0,998)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A29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0,013</w:t>
            </w:r>
          </w:p>
        </w:tc>
      </w:tr>
      <w:tr w:rsidR="00010C4D" w:rsidRPr="00010C4D" w14:paraId="403C2E37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4EC9" w14:textId="30D4CD24" w:rsidR="00010C4D" w:rsidRPr="00010C4D" w:rsidRDefault="0041401B" w:rsidP="0075015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Change in t</w:t>
            </w:r>
            <w:r w:rsidRPr="002546EB">
              <w:rPr>
                <w:rFonts w:ascii="Times New Roman" w:hAnsi="Times New Roman"/>
                <w:sz w:val="20"/>
                <w:szCs w:val="20"/>
                <w:lang w:val="en-GB"/>
              </w:rPr>
              <w:t>ender joint count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6B2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0,944 (0,893–0,989)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64E9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0,028</w:t>
            </w:r>
          </w:p>
        </w:tc>
      </w:tr>
      <w:tr w:rsidR="00010C4D" w:rsidRPr="00010C4D" w14:paraId="323E7925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B94A" w14:textId="3805B8EA" w:rsidR="00010C4D" w:rsidRPr="00010C4D" w:rsidRDefault="0041401B" w:rsidP="0041401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US"/>
              </w:rPr>
              <w:t>Change in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US"/>
              </w:rPr>
              <w:t xml:space="preserve"> CHAQ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US"/>
              </w:rPr>
              <w:t xml:space="preserve"> index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2666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1,556 (0,949–2,583)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DAB7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0,082</w:t>
            </w:r>
          </w:p>
        </w:tc>
      </w:tr>
      <w:tr w:rsidR="00010C4D" w:rsidRPr="00010C4D" w14:paraId="73E6C8B3" w14:textId="77777777" w:rsidTr="00750159">
        <w:trPr>
          <w:trHeight w:val="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520A" w14:textId="6CAFC9C7" w:rsidR="00010C4D" w:rsidRPr="00010C4D" w:rsidRDefault="0041401B" w:rsidP="0041401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Change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in</w:t>
            </w:r>
            <w:r w:rsidR="00010C4D"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JADAS71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index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1C0F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1,022 (0,989–1,058)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176F" w14:textId="77777777" w:rsidR="00010C4D" w:rsidRPr="00010C4D" w:rsidRDefault="00010C4D" w:rsidP="007501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10C4D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0,197</w:t>
            </w:r>
          </w:p>
        </w:tc>
      </w:tr>
    </w:tbl>
    <w:p w14:paraId="6CF421D1" w14:textId="286A5F8D" w:rsidR="00D13E08" w:rsidRPr="00551F1A" w:rsidRDefault="0041401B" w:rsidP="002F207C">
      <w:pPr>
        <w:jc w:val="both"/>
        <w:rPr>
          <w:rFonts w:ascii="Times New Roman" w:hAnsi="Times New Roman" w:cs="Times New Roman"/>
          <w:sz w:val="22"/>
          <w:lang w:val="en-GB"/>
        </w:rPr>
      </w:pPr>
      <w:r w:rsidRPr="00551F1A">
        <w:rPr>
          <w:rFonts w:ascii="Times New Roman" w:hAnsi="Times New Roman" w:cs="Times New Roman"/>
          <w:i/>
          <w:sz w:val="22"/>
          <w:lang w:val="en-GB"/>
        </w:rPr>
        <w:lastRenderedPageBreak/>
        <w:t>Note</w:t>
      </w:r>
      <w:r w:rsidR="00010C4D" w:rsidRPr="00551F1A">
        <w:rPr>
          <w:rFonts w:ascii="Times New Roman" w:hAnsi="Times New Roman" w:cs="Times New Roman"/>
          <w:i/>
          <w:sz w:val="22"/>
          <w:lang w:val="en-GB"/>
        </w:rPr>
        <w:t>.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* ― </w:t>
      </w:r>
      <w:r w:rsidR="007002F1" w:rsidRPr="00551F1A">
        <w:rPr>
          <w:rFonts w:ascii="Times New Roman" w:hAnsi="Times New Roman" w:cs="Times New Roman"/>
          <w:sz w:val="22"/>
          <w:lang w:val="en-GB"/>
        </w:rPr>
        <w:t>calculation of odds ratio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(</w:t>
      </w:r>
      <w:r w:rsidR="007002F1" w:rsidRPr="00551F1A">
        <w:rPr>
          <w:rFonts w:ascii="Times New Roman" w:hAnsi="Times New Roman" w:cs="Times New Roman"/>
          <w:sz w:val="22"/>
          <w:lang w:val="en-GB"/>
        </w:rPr>
        <w:t>OR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; 95% </w:t>
      </w:r>
      <w:r w:rsidR="007002F1" w:rsidRPr="00551F1A">
        <w:rPr>
          <w:rFonts w:ascii="Times New Roman" w:hAnsi="Times New Roman" w:cs="Times New Roman"/>
          <w:sz w:val="22"/>
          <w:lang w:val="en-GB"/>
        </w:rPr>
        <w:t>CI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) </w:t>
      </w:r>
      <w:r w:rsidR="007002F1" w:rsidRPr="00551F1A">
        <w:rPr>
          <w:rFonts w:ascii="Times New Roman" w:hAnsi="Times New Roman" w:cs="Times New Roman"/>
          <w:sz w:val="22"/>
          <w:lang w:val="en-GB"/>
        </w:rPr>
        <w:t>was performed for the reduction range of initial indicators after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1 </w:t>
      </w:r>
      <w:r w:rsidR="007002F1" w:rsidRPr="00551F1A">
        <w:rPr>
          <w:rFonts w:ascii="Times New Roman" w:hAnsi="Times New Roman" w:cs="Times New Roman"/>
          <w:sz w:val="22"/>
          <w:lang w:val="en-GB"/>
        </w:rPr>
        <w:t>month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</w:t>
      </w:r>
      <w:r w:rsidR="007002F1" w:rsidRPr="00551F1A">
        <w:rPr>
          <w:rFonts w:ascii="Times New Roman" w:hAnsi="Times New Roman" w:cs="Times New Roman"/>
          <w:sz w:val="22"/>
          <w:lang w:val="en-GB"/>
        </w:rPr>
        <w:t>of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</w:t>
      </w:r>
      <w:r w:rsidR="007002F1" w:rsidRPr="00551F1A">
        <w:rPr>
          <w:rFonts w:ascii="Times New Roman" w:hAnsi="Times New Roman" w:cs="Times New Roman"/>
          <w:sz w:val="22"/>
          <w:lang w:val="en-GB"/>
        </w:rPr>
        <w:t>treatment with Etanercept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. </w:t>
      </w:r>
      <w:r w:rsidR="007002F1" w:rsidRPr="00551F1A">
        <w:rPr>
          <w:rFonts w:ascii="Times New Roman" w:hAnsi="Times New Roman" w:cs="Times New Roman"/>
          <w:sz w:val="22"/>
          <w:lang w:val="en-GB"/>
        </w:rPr>
        <w:t>For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</w:t>
      </w:r>
      <w:r w:rsidR="007002F1" w:rsidRPr="00551F1A">
        <w:rPr>
          <w:rFonts w:ascii="Times New Roman" w:hAnsi="Times New Roman" w:cs="Times New Roman"/>
          <w:sz w:val="22"/>
          <w:lang w:val="en-GB"/>
        </w:rPr>
        <w:t>quantitative indicators OR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(95% </w:t>
      </w:r>
      <w:r w:rsidR="007002F1" w:rsidRPr="00551F1A">
        <w:rPr>
          <w:rFonts w:ascii="Times New Roman" w:hAnsi="Times New Roman" w:cs="Times New Roman"/>
          <w:sz w:val="22"/>
          <w:lang w:val="en-GB"/>
        </w:rPr>
        <w:t>CI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) </w:t>
      </w:r>
      <w:r w:rsidR="007002F1" w:rsidRPr="00551F1A">
        <w:rPr>
          <w:rFonts w:ascii="Times New Roman" w:hAnsi="Times New Roman" w:cs="Times New Roman"/>
          <w:sz w:val="22"/>
          <w:lang w:val="en-GB"/>
        </w:rPr>
        <w:t>was calculated for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</w:t>
      </w:r>
      <w:r w:rsidR="00DE4A7B" w:rsidRPr="00551F1A">
        <w:rPr>
          <w:rFonts w:ascii="Times New Roman" w:hAnsi="Times New Roman" w:cs="Times New Roman"/>
          <w:sz w:val="22"/>
          <w:lang w:val="en-GB"/>
        </w:rPr>
        <w:t>indicator changes on corresponding unit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. </w:t>
      </w:r>
      <w:r w:rsidR="00DE4A7B" w:rsidRPr="00551F1A">
        <w:rPr>
          <w:rFonts w:ascii="Times New Roman" w:hAnsi="Times New Roman" w:cs="Times New Roman"/>
          <w:sz w:val="22"/>
          <w:lang w:val="en-GB"/>
        </w:rPr>
        <w:t>The factors (out of all indicators) for which P-value is &lt;0.2 are presented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. </w:t>
      </w:r>
      <w:r w:rsidR="00DE4A7B" w:rsidRPr="00551F1A">
        <w:rPr>
          <w:rFonts w:ascii="Times New Roman" w:hAnsi="Times New Roman" w:cs="Times New Roman"/>
          <w:sz w:val="22"/>
          <w:lang w:val="en-GB"/>
        </w:rPr>
        <w:t>DMARD ― disease-modifying anti-rheumatic drugs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, </w:t>
      </w:r>
      <w:r w:rsidR="00551F1A" w:rsidRPr="00551F1A">
        <w:rPr>
          <w:rFonts w:ascii="Times New Roman" w:hAnsi="Times New Roman" w:cs="Times New Roman"/>
          <w:sz w:val="22"/>
          <w:lang w:val="en-GB"/>
        </w:rPr>
        <w:t>GEBD</w:t>
      </w:r>
      <w:r w:rsidR="00DE4A7B" w:rsidRPr="00551F1A">
        <w:rPr>
          <w:rFonts w:ascii="Times New Roman" w:hAnsi="Times New Roman" w:cs="Times New Roman"/>
          <w:sz w:val="22"/>
          <w:lang w:val="en-GB"/>
        </w:rPr>
        <w:t xml:space="preserve"> ― genetically engineered biologic drugs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, </w:t>
      </w:r>
      <w:r w:rsidR="00DE4A7B" w:rsidRPr="00551F1A">
        <w:rPr>
          <w:rFonts w:ascii="Times New Roman" w:hAnsi="Times New Roman" w:cs="Times New Roman"/>
          <w:sz w:val="22"/>
          <w:lang w:val="en-US"/>
        </w:rPr>
        <w:t>RF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― </w:t>
      </w:r>
      <w:r w:rsidR="00DE4A7B" w:rsidRPr="00551F1A">
        <w:rPr>
          <w:rFonts w:ascii="Times New Roman" w:hAnsi="Times New Roman" w:cs="Times New Roman"/>
          <w:sz w:val="22"/>
          <w:lang w:val="en-GB"/>
        </w:rPr>
        <w:t>rheumatoid factor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, </w:t>
      </w:r>
      <w:r w:rsidR="00DE4A7B" w:rsidRPr="00551F1A">
        <w:rPr>
          <w:rFonts w:ascii="Times New Roman" w:hAnsi="Times New Roman" w:cs="Times New Roman"/>
          <w:sz w:val="22"/>
          <w:lang w:val="en-GB"/>
        </w:rPr>
        <w:t>JIA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 ― </w:t>
      </w:r>
      <w:r w:rsidR="00DE4A7B" w:rsidRPr="00551F1A">
        <w:rPr>
          <w:rFonts w:ascii="Times New Roman" w:hAnsi="Times New Roman" w:cs="Times New Roman"/>
          <w:sz w:val="22"/>
          <w:lang w:val="en-GB"/>
        </w:rPr>
        <w:t xml:space="preserve">juvenile </w:t>
      </w:r>
      <w:proofErr w:type="spellStart"/>
      <w:r w:rsidR="00DE4A7B" w:rsidRPr="00551F1A">
        <w:rPr>
          <w:rFonts w:ascii="Times New Roman" w:hAnsi="Times New Roman" w:cs="Times New Roman"/>
          <w:sz w:val="22"/>
          <w:lang w:val="en-GB"/>
        </w:rPr>
        <w:t>idiopatic</w:t>
      </w:r>
      <w:proofErr w:type="spellEnd"/>
      <w:r w:rsidR="00DE4A7B" w:rsidRPr="00551F1A">
        <w:rPr>
          <w:rFonts w:ascii="Times New Roman" w:hAnsi="Times New Roman" w:cs="Times New Roman"/>
          <w:sz w:val="22"/>
          <w:lang w:val="en-GB"/>
        </w:rPr>
        <w:t xml:space="preserve"> arthritis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, </w:t>
      </w:r>
      <w:r w:rsidR="00551F1A" w:rsidRPr="00551F1A">
        <w:rPr>
          <w:rFonts w:ascii="Times New Roman" w:hAnsi="Times New Roman" w:cs="Times New Roman"/>
          <w:sz w:val="22"/>
          <w:lang w:val="en-GB"/>
        </w:rPr>
        <w:t>ESR</w:t>
      </w:r>
      <w:r w:rsidR="00DE4A7B" w:rsidRPr="00551F1A">
        <w:rPr>
          <w:rFonts w:ascii="Times New Roman" w:hAnsi="Times New Roman" w:cs="Times New Roman"/>
          <w:sz w:val="22"/>
          <w:lang w:val="en-GB"/>
        </w:rPr>
        <w:t xml:space="preserve"> ― erythrocyte sedimentation rate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, </w:t>
      </w:r>
      <w:r w:rsidR="00DE4A7B" w:rsidRPr="00551F1A">
        <w:rPr>
          <w:rFonts w:ascii="Times New Roman" w:hAnsi="Times New Roman" w:cs="Times New Roman"/>
          <w:sz w:val="22"/>
          <w:lang w:val="en-GB"/>
        </w:rPr>
        <w:t xml:space="preserve">CRP </w:t>
      </w:r>
      <w:r w:rsidR="00010C4D" w:rsidRPr="00551F1A">
        <w:rPr>
          <w:rFonts w:ascii="Times New Roman" w:hAnsi="Times New Roman" w:cs="Times New Roman"/>
          <w:sz w:val="22"/>
          <w:lang w:val="en-GB"/>
        </w:rPr>
        <w:t xml:space="preserve">― </w:t>
      </w:r>
      <w:r w:rsidR="00DE4A7B" w:rsidRPr="00551F1A">
        <w:rPr>
          <w:rFonts w:ascii="Times New Roman" w:hAnsi="Times New Roman" w:cs="Times New Roman"/>
          <w:sz w:val="22"/>
          <w:lang w:val="en-GB"/>
        </w:rPr>
        <w:t>C-reactive protein</w:t>
      </w:r>
      <w:r w:rsidR="00010C4D" w:rsidRPr="00551F1A">
        <w:rPr>
          <w:rFonts w:ascii="Times New Roman" w:hAnsi="Times New Roman" w:cs="Times New Roman"/>
          <w:sz w:val="22"/>
          <w:lang w:val="en-GB"/>
        </w:rPr>
        <w:t>.</w:t>
      </w:r>
    </w:p>
    <w:p w14:paraId="2F68F25F" w14:textId="77777777" w:rsidR="009B41B8" w:rsidRPr="00010C4D" w:rsidRDefault="009B41B8" w:rsidP="002F207C">
      <w:pPr>
        <w:jc w:val="both"/>
        <w:rPr>
          <w:rFonts w:ascii="Times New Roman" w:hAnsi="Times New Roman" w:cs="Times New Roman"/>
          <w:lang w:val="en-GB"/>
        </w:rPr>
      </w:pPr>
    </w:p>
    <w:p w14:paraId="5FF31413" w14:textId="2A3661A3" w:rsidR="0092700D" w:rsidRPr="0044239C" w:rsidRDefault="00551F1A" w:rsidP="002F207C">
      <w:pPr>
        <w:jc w:val="both"/>
        <w:rPr>
          <w:rFonts w:ascii="Times New Roman" w:hAnsi="Times New Roman" w:cs="Times New Roman"/>
          <w:lang w:val="en-GB"/>
        </w:rPr>
      </w:pPr>
      <w:r w:rsidRPr="00551F1A">
        <w:rPr>
          <w:rFonts w:ascii="Times New Roman" w:hAnsi="Times New Roman" w:cs="Times New Roman"/>
          <w:b/>
          <w:lang w:val="en-GB"/>
        </w:rPr>
        <w:t>Table</w:t>
      </w:r>
      <w:r w:rsidRPr="00551F1A">
        <w:rPr>
          <w:rFonts w:ascii="Times New Roman" w:hAnsi="Times New Roman" w:cs="Times New Roman"/>
          <w:b/>
          <w:lang w:val="en-US"/>
        </w:rPr>
        <w:t> </w:t>
      </w:r>
      <w:r w:rsidR="0044239C" w:rsidRPr="00551F1A">
        <w:rPr>
          <w:rFonts w:ascii="Times New Roman" w:hAnsi="Times New Roman" w:cs="Times New Roman"/>
          <w:b/>
          <w:lang w:val="en-GB"/>
        </w:rPr>
        <w:t>5</w:t>
      </w:r>
      <w:r w:rsidR="0044239C" w:rsidRPr="0044239C">
        <w:rPr>
          <w:rFonts w:ascii="Times New Roman" w:hAnsi="Times New Roman" w:cs="Times New Roman"/>
          <w:lang w:val="en-GB"/>
        </w:rPr>
        <w:t>. Predictors for remission achievement in patients with JIA without</w:t>
      </w:r>
      <w:r>
        <w:rPr>
          <w:rFonts w:ascii="Times New Roman" w:hAnsi="Times New Roman" w:cs="Times New Roman"/>
          <w:lang w:val="en-GB"/>
        </w:rPr>
        <w:t xml:space="preserve"> systematic manifestations (</w:t>
      </w:r>
      <w:r w:rsidRPr="00551F1A">
        <w:rPr>
          <w:rFonts w:ascii="Times New Roman" w:hAnsi="Times New Roman" w:cs="Times New Roman"/>
          <w:i/>
          <w:lang w:val="en-GB"/>
        </w:rPr>
        <w:t>n</w:t>
      </w:r>
      <w:r w:rsidRPr="00551F1A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lang w:val="en-GB"/>
        </w:rPr>
        <w:t>=</w:t>
      </w:r>
      <w:r w:rsidR="0044239C" w:rsidRPr="0044239C">
        <w:rPr>
          <w:rFonts w:ascii="Times New Roman" w:hAnsi="Times New Roman" w:cs="Times New Roman"/>
          <w:lang w:val="en-GB"/>
        </w:rPr>
        <w:t>197) after 12 months of treatment included Etanercept: results of multivariate logistic regression analysis</w:t>
      </w:r>
    </w:p>
    <w:tbl>
      <w:tblPr>
        <w:tblW w:w="9371" w:type="dxa"/>
        <w:tblInd w:w="93" w:type="dxa"/>
        <w:tblLook w:val="00A0" w:firstRow="1" w:lastRow="0" w:firstColumn="1" w:lastColumn="0" w:noHBand="0" w:noVBand="0"/>
      </w:tblPr>
      <w:tblGrid>
        <w:gridCol w:w="6961"/>
        <w:gridCol w:w="1701"/>
        <w:gridCol w:w="709"/>
      </w:tblGrid>
      <w:tr w:rsidR="0044239C" w:rsidRPr="0044239C" w14:paraId="33FBD39D" w14:textId="77777777" w:rsidTr="000A6716">
        <w:trPr>
          <w:trHeight w:val="30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EBCF" w14:textId="62AB8361" w:rsidR="0044239C" w:rsidRPr="0044239C" w:rsidRDefault="0044239C" w:rsidP="000A6716">
            <w:pPr>
              <w:ind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Indicator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5F9B" w14:textId="32673B9D" w:rsidR="0044239C" w:rsidRPr="0044239C" w:rsidRDefault="0044239C" w:rsidP="0044239C">
            <w:pPr>
              <w:ind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OR (95% CI)*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9D71" w14:textId="77777777" w:rsidR="0044239C" w:rsidRPr="0044239C" w:rsidRDefault="0044239C" w:rsidP="000A6716">
            <w:pPr>
              <w:ind w:right="-4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</w:t>
            </w:r>
          </w:p>
        </w:tc>
      </w:tr>
      <w:tr w:rsidR="0044239C" w:rsidRPr="0044239C" w14:paraId="0950BF54" w14:textId="77777777" w:rsidTr="000A6716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0686" w14:textId="516F9E0E" w:rsidR="0044239C" w:rsidRPr="0044239C" w:rsidRDefault="0044239C" w:rsidP="0044239C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JIA duration before treatment with Etanercept 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3061" w14:textId="77777777" w:rsidR="0044239C" w:rsidRPr="0044239C" w:rsidRDefault="0044239C" w:rsidP="000A6716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0,89 (0,79–0,99)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A9B8" w14:textId="77777777" w:rsidR="0044239C" w:rsidRPr="0044239C" w:rsidRDefault="0044239C" w:rsidP="000A6716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0,036</w:t>
            </w:r>
          </w:p>
        </w:tc>
      </w:tr>
      <w:tr w:rsidR="0044239C" w:rsidRPr="0044239C" w14:paraId="5D1ECA2A" w14:textId="77777777" w:rsidTr="000A6716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B7ED" w14:textId="601123D8" w:rsidR="0044239C" w:rsidRPr="0044239C" w:rsidRDefault="0044239C" w:rsidP="0044239C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Tender joint count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initially</w:t>
            </w: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0B11" w14:textId="77777777" w:rsidR="0044239C" w:rsidRPr="0044239C" w:rsidRDefault="0044239C" w:rsidP="000A6716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0,89 (0,84–0,94)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4A58" w14:textId="77777777" w:rsidR="0044239C" w:rsidRPr="0044239C" w:rsidRDefault="0044239C" w:rsidP="000A6716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0,001</w:t>
            </w:r>
          </w:p>
        </w:tc>
      </w:tr>
      <w:tr w:rsidR="0044239C" w:rsidRPr="0044239C" w14:paraId="40B96A7B" w14:textId="77777777" w:rsidTr="000A6716">
        <w:trPr>
          <w:trHeight w:val="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FF1" w14:textId="403561C8" w:rsidR="0044239C" w:rsidRPr="0044239C" w:rsidRDefault="0044239C" w:rsidP="0044239C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Reduction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Illness activity according to </w:t>
            </w: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JADAS71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index after </w:t>
            </w: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 of treatment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CC7E" w14:textId="77777777" w:rsidR="0044239C" w:rsidRPr="0044239C" w:rsidRDefault="0044239C" w:rsidP="000A6716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1,08 (1,03–1,14)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E39B" w14:textId="77777777" w:rsidR="0044239C" w:rsidRPr="0044239C" w:rsidRDefault="0044239C" w:rsidP="000A6716">
            <w:pPr>
              <w:ind w:right="-4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3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0,001</w:t>
            </w:r>
          </w:p>
        </w:tc>
      </w:tr>
    </w:tbl>
    <w:p w14:paraId="36FB33D3" w14:textId="4D58BED1" w:rsidR="00A53762" w:rsidRPr="00551F1A" w:rsidRDefault="00091DD2" w:rsidP="002F207C">
      <w:pPr>
        <w:jc w:val="both"/>
        <w:rPr>
          <w:rFonts w:ascii="Times New Roman" w:hAnsi="Times New Roman" w:cs="Times New Roman"/>
          <w:sz w:val="22"/>
          <w:lang w:val="en-GB"/>
        </w:rPr>
      </w:pPr>
      <w:r w:rsidRPr="00551F1A">
        <w:rPr>
          <w:rFonts w:ascii="Times New Roman" w:hAnsi="Times New Roman" w:cs="Times New Roman"/>
          <w:i/>
          <w:sz w:val="22"/>
          <w:lang w:val="en-GB"/>
        </w:rPr>
        <w:t>Note.</w:t>
      </w:r>
      <w:r w:rsidRPr="00551F1A">
        <w:rPr>
          <w:rFonts w:ascii="Times New Roman" w:hAnsi="Times New Roman" w:cs="Times New Roman"/>
          <w:sz w:val="22"/>
          <w:lang w:val="en-GB"/>
        </w:rPr>
        <w:t xml:space="preserve"> * ―</w:t>
      </w:r>
      <w:r w:rsidR="00A53762" w:rsidRPr="00551F1A">
        <w:rPr>
          <w:rFonts w:ascii="Times New Roman" w:hAnsi="Times New Roman" w:cs="Times New Roman"/>
          <w:sz w:val="22"/>
          <w:lang w:val="en-GB"/>
        </w:rPr>
        <w:t xml:space="preserve"> value of odds ratio (OR; 95% CI) was calculated for change in quantitative indicator on corresponding unit. Model characteristics</w:t>
      </w:r>
      <w:r w:rsidR="00551F1A" w:rsidRPr="00551F1A">
        <w:rPr>
          <w:rFonts w:ascii="Times New Roman" w:hAnsi="Times New Roman" w:cs="Times New Roman"/>
          <w:sz w:val="22"/>
          <w:lang w:val="en-GB"/>
        </w:rPr>
        <w:t>: AIC</w:t>
      </w:r>
      <w:r w:rsidR="00551F1A" w:rsidRPr="004A5E2D">
        <w:rPr>
          <w:rFonts w:ascii="Times New Roman" w:hAnsi="Times New Roman" w:cs="Times New Roman"/>
          <w:sz w:val="22"/>
          <w:lang w:val="en-US"/>
        </w:rPr>
        <w:t> </w:t>
      </w:r>
      <w:r w:rsidR="00551F1A" w:rsidRPr="00551F1A">
        <w:rPr>
          <w:rFonts w:ascii="Times New Roman" w:hAnsi="Times New Roman" w:cs="Times New Roman"/>
          <w:sz w:val="22"/>
          <w:lang w:val="en-GB"/>
        </w:rPr>
        <w:t>=237.5; R2</w:t>
      </w:r>
      <w:r w:rsidR="00551F1A" w:rsidRPr="004A5E2D">
        <w:rPr>
          <w:rFonts w:ascii="Times New Roman" w:hAnsi="Times New Roman" w:cs="Times New Roman"/>
          <w:sz w:val="22"/>
          <w:lang w:val="en-US"/>
        </w:rPr>
        <w:t> </w:t>
      </w:r>
      <w:r w:rsidR="00551F1A" w:rsidRPr="00551F1A">
        <w:rPr>
          <w:rFonts w:ascii="Times New Roman" w:hAnsi="Times New Roman" w:cs="Times New Roman"/>
          <w:sz w:val="22"/>
          <w:lang w:val="en-GB"/>
        </w:rPr>
        <w:t>=</w:t>
      </w:r>
      <w:r w:rsidR="00A53762" w:rsidRPr="00551F1A">
        <w:rPr>
          <w:rFonts w:ascii="Times New Roman" w:hAnsi="Times New Roman" w:cs="Times New Roman"/>
          <w:sz w:val="22"/>
          <w:lang w:val="en-GB"/>
        </w:rPr>
        <w:t>14%.</w:t>
      </w:r>
    </w:p>
    <w:p w14:paraId="3FE31325" w14:textId="77777777" w:rsidR="00A53762" w:rsidRDefault="00A53762" w:rsidP="002F207C">
      <w:pPr>
        <w:jc w:val="both"/>
        <w:rPr>
          <w:rFonts w:ascii="Times New Roman" w:hAnsi="Times New Roman" w:cs="Times New Roman"/>
          <w:lang w:val="en-GB"/>
        </w:rPr>
      </w:pPr>
    </w:p>
    <w:p w14:paraId="25ED2527" w14:textId="63828FBB" w:rsidR="00A53762" w:rsidRDefault="000A6716" w:rsidP="002F207C">
      <w:pPr>
        <w:jc w:val="both"/>
        <w:rPr>
          <w:rFonts w:ascii="Times New Roman" w:hAnsi="Times New Roman" w:cs="Times New Roman"/>
          <w:lang w:val="en-GB"/>
        </w:rPr>
      </w:pPr>
      <w:r w:rsidRPr="00551F1A">
        <w:rPr>
          <w:rFonts w:ascii="Times New Roman" w:hAnsi="Times New Roman" w:cs="Times New Roman"/>
          <w:b/>
          <w:lang w:val="en-GB"/>
        </w:rPr>
        <w:t>Fig</w:t>
      </w:r>
      <w:r>
        <w:rPr>
          <w:rFonts w:ascii="Times New Roman" w:hAnsi="Times New Roman" w:cs="Times New Roman"/>
          <w:lang w:val="en-GB"/>
        </w:rPr>
        <w:t>.</w:t>
      </w:r>
      <w:r w:rsidR="004A5E2D" w:rsidRPr="004A5E2D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lang w:val="en-GB"/>
        </w:rPr>
        <w:t xml:space="preserve">Results of 12 months treatment with </w:t>
      </w:r>
      <w:r w:rsidRPr="006D5626">
        <w:rPr>
          <w:rFonts w:ascii="Times New Roman" w:hAnsi="Times New Roman" w:cs="Times New Roman"/>
          <w:lang w:val="en-GB"/>
        </w:rPr>
        <w:t>Etanercept</w:t>
      </w:r>
    </w:p>
    <w:p w14:paraId="67DE7958" w14:textId="181CD9A2" w:rsidR="0044239C" w:rsidRPr="004A5E2D" w:rsidRDefault="004A5E2D" w:rsidP="002F207C">
      <w:pPr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i/>
          <w:noProof/>
          <w:sz w:val="22"/>
        </w:rPr>
        <w:drawing>
          <wp:inline distT="0" distB="0" distL="0" distR="0" wp14:anchorId="55A51C01" wp14:editId="12407955">
            <wp:extent cx="5936615" cy="2692112"/>
            <wp:effectExtent l="0" t="0" r="6985" b="0"/>
            <wp:docPr id="1" name="Рисунок 1" descr="C:\Users\computer\Desktop\Alexeeva_vsp1-2019_1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Alexeeva_vsp1-2019_1_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9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716" w:rsidRPr="00551F1A">
        <w:rPr>
          <w:rFonts w:ascii="Times New Roman" w:hAnsi="Times New Roman" w:cs="Times New Roman"/>
          <w:i/>
          <w:sz w:val="22"/>
          <w:lang w:val="en-GB"/>
        </w:rPr>
        <w:t>Note.</w:t>
      </w:r>
      <w:r w:rsidR="000A6716" w:rsidRPr="00551F1A">
        <w:rPr>
          <w:rFonts w:ascii="Times New Roman" w:hAnsi="Times New Roman" w:cs="Times New Roman"/>
          <w:sz w:val="22"/>
          <w:lang w:val="en-GB"/>
        </w:rPr>
        <w:t xml:space="preserve"> </w:t>
      </w:r>
      <w:r w:rsidR="00E706F2" w:rsidRPr="00551F1A">
        <w:rPr>
          <w:rFonts w:ascii="Times New Roman" w:hAnsi="Times New Roman" w:cs="Times New Roman"/>
          <w:sz w:val="22"/>
          <w:lang w:val="en-US"/>
        </w:rPr>
        <w:t xml:space="preserve">Percentage of patients who has reached </w:t>
      </w:r>
      <w:r w:rsidR="00E706F2" w:rsidRPr="00551F1A">
        <w:rPr>
          <w:rFonts w:ascii="Times New Roman" w:hAnsi="Times New Roman" w:cs="Times New Roman"/>
          <w:sz w:val="22"/>
          <w:lang w:val="en-GB"/>
        </w:rPr>
        <w:t>corresponding outcome was calculated for all 197 patients included in this study.</w:t>
      </w:r>
    </w:p>
    <w:p w14:paraId="0B723666" w14:textId="77777777" w:rsidR="00B95A5F" w:rsidRPr="004A5E2D" w:rsidRDefault="00B95A5F" w:rsidP="002F207C">
      <w:pPr>
        <w:jc w:val="both"/>
        <w:rPr>
          <w:rFonts w:ascii="Times New Roman" w:hAnsi="Times New Roman" w:cs="Times New Roman"/>
          <w:lang w:val="en-US"/>
        </w:rPr>
      </w:pPr>
    </w:p>
    <w:p w14:paraId="3382FCF3" w14:textId="77777777" w:rsidR="00B95A5F" w:rsidRPr="002807C7" w:rsidRDefault="00B95A5F" w:rsidP="00B95A5F">
      <w:pPr>
        <w:jc w:val="both"/>
        <w:rPr>
          <w:rFonts w:ascii="Times New Roman" w:hAnsi="Times New Roman" w:cs="Times New Roman"/>
          <w:b/>
          <w:lang w:val="en-GB"/>
        </w:rPr>
      </w:pPr>
      <w:r w:rsidRPr="002807C7">
        <w:rPr>
          <w:rFonts w:ascii="Times New Roman" w:hAnsi="Times New Roman" w:cs="Times New Roman"/>
          <w:b/>
          <w:lang w:val="en-GB"/>
        </w:rPr>
        <w:t>FINANCING SOURCE</w:t>
      </w:r>
    </w:p>
    <w:p w14:paraId="432ECA46" w14:textId="77777777" w:rsidR="00B95A5F" w:rsidRPr="002807C7" w:rsidRDefault="00B95A5F" w:rsidP="00B95A5F">
      <w:pPr>
        <w:jc w:val="both"/>
        <w:rPr>
          <w:rFonts w:ascii="Times New Roman" w:hAnsi="Times New Roman" w:cs="Times New Roman"/>
          <w:lang w:val="en-GB"/>
        </w:rPr>
      </w:pPr>
      <w:r w:rsidRPr="002807C7">
        <w:rPr>
          <w:rFonts w:ascii="Times New Roman" w:hAnsi="Times New Roman" w:cs="Times New Roman"/>
          <w:lang w:val="en-GB"/>
        </w:rPr>
        <w:t>Not specified.</w:t>
      </w:r>
    </w:p>
    <w:p w14:paraId="7512AAA8" w14:textId="77777777" w:rsidR="00B95A5F" w:rsidRPr="002807C7" w:rsidRDefault="00B95A5F" w:rsidP="00B95A5F">
      <w:pPr>
        <w:jc w:val="both"/>
        <w:rPr>
          <w:rFonts w:ascii="Times New Roman" w:hAnsi="Times New Roman" w:cs="Times New Roman"/>
          <w:lang w:val="en-GB"/>
        </w:rPr>
      </w:pPr>
    </w:p>
    <w:p w14:paraId="6829D6F4" w14:textId="77777777" w:rsidR="00B95A5F" w:rsidRPr="002807C7" w:rsidRDefault="00B95A5F" w:rsidP="00B95A5F">
      <w:pPr>
        <w:jc w:val="both"/>
        <w:rPr>
          <w:rFonts w:ascii="Times New Roman" w:hAnsi="Times New Roman" w:cs="Times New Roman"/>
          <w:b/>
          <w:lang w:val="en-GB"/>
        </w:rPr>
      </w:pPr>
      <w:r w:rsidRPr="002807C7">
        <w:rPr>
          <w:rFonts w:ascii="Times New Roman" w:hAnsi="Times New Roman" w:cs="Times New Roman"/>
          <w:b/>
          <w:lang w:val="en-GB"/>
        </w:rPr>
        <w:t>CONFLICT OF INTERESTS</w:t>
      </w:r>
    </w:p>
    <w:p w14:paraId="28284C72" w14:textId="77777777" w:rsidR="00B95A5F" w:rsidRPr="002807C7" w:rsidRDefault="00B95A5F" w:rsidP="00B95A5F">
      <w:pPr>
        <w:jc w:val="both"/>
        <w:rPr>
          <w:rFonts w:ascii="Times New Roman" w:hAnsi="Times New Roman" w:cs="Times New Roman"/>
          <w:lang w:val="en-GB"/>
        </w:rPr>
      </w:pPr>
      <w:r w:rsidRPr="002807C7">
        <w:rPr>
          <w:rFonts w:ascii="Times New Roman" w:hAnsi="Times New Roman" w:cs="Times New Roman"/>
          <w:b/>
          <w:lang w:val="en-GB"/>
        </w:rPr>
        <w:t xml:space="preserve">Ekaterina I. </w:t>
      </w:r>
      <w:proofErr w:type="spellStart"/>
      <w:r w:rsidRPr="002807C7">
        <w:rPr>
          <w:rFonts w:ascii="Times New Roman" w:hAnsi="Times New Roman" w:cs="Times New Roman"/>
          <w:b/>
          <w:lang w:val="en-GB"/>
        </w:rPr>
        <w:t>Alexeeva</w:t>
      </w:r>
      <w:proofErr w:type="spellEnd"/>
      <w:r w:rsidRPr="002807C7">
        <w:rPr>
          <w:rFonts w:ascii="Times New Roman" w:hAnsi="Times New Roman" w:cs="Times New Roman"/>
          <w:b/>
          <w:lang w:val="en-GB"/>
        </w:rPr>
        <w:t xml:space="preserve">, Tatyana M. </w:t>
      </w:r>
      <w:proofErr w:type="spellStart"/>
      <w:r w:rsidRPr="002807C7">
        <w:rPr>
          <w:rFonts w:ascii="Times New Roman" w:hAnsi="Times New Roman" w:cs="Times New Roman"/>
          <w:b/>
          <w:lang w:val="en-GB"/>
        </w:rPr>
        <w:t>Dvoryakovskaya</w:t>
      </w:r>
      <w:proofErr w:type="spellEnd"/>
      <w:r w:rsidRPr="002807C7">
        <w:rPr>
          <w:rFonts w:ascii="Times New Roman" w:hAnsi="Times New Roman" w:cs="Times New Roman"/>
          <w:lang w:val="en-GB"/>
        </w:rPr>
        <w:t xml:space="preserve"> — receiving research grants from Pfizer, Roche, </w:t>
      </w:r>
      <w:proofErr w:type="spellStart"/>
      <w:r w:rsidRPr="002807C7">
        <w:rPr>
          <w:rFonts w:ascii="Times New Roman" w:hAnsi="Times New Roman" w:cs="Times New Roman"/>
          <w:lang w:val="en-GB"/>
        </w:rPr>
        <w:t>Centocor</w:t>
      </w:r>
      <w:proofErr w:type="spellEnd"/>
      <w:r w:rsidRPr="002807C7">
        <w:rPr>
          <w:rFonts w:ascii="Times New Roman" w:hAnsi="Times New Roman" w:cs="Times New Roman"/>
          <w:lang w:val="en-GB"/>
        </w:rPr>
        <w:t xml:space="preserve">, Novartis companies. </w:t>
      </w:r>
    </w:p>
    <w:p w14:paraId="2D098A48" w14:textId="77777777" w:rsidR="00B95A5F" w:rsidRPr="002807C7" w:rsidRDefault="00B95A5F" w:rsidP="00B95A5F">
      <w:pPr>
        <w:jc w:val="both"/>
        <w:rPr>
          <w:rFonts w:ascii="Times New Roman" w:hAnsi="Times New Roman" w:cs="Times New Roman"/>
          <w:lang w:val="en-GB"/>
        </w:rPr>
      </w:pPr>
      <w:r w:rsidRPr="002807C7">
        <w:rPr>
          <w:rFonts w:ascii="Times New Roman" w:hAnsi="Times New Roman" w:cs="Times New Roman"/>
          <w:b/>
          <w:lang w:val="en-GB"/>
        </w:rPr>
        <w:t xml:space="preserve">Rina V. </w:t>
      </w:r>
      <w:proofErr w:type="spellStart"/>
      <w:r w:rsidRPr="002807C7">
        <w:rPr>
          <w:rFonts w:ascii="Times New Roman" w:hAnsi="Times New Roman" w:cs="Times New Roman"/>
          <w:b/>
          <w:lang w:val="en-GB"/>
        </w:rPr>
        <w:t>Denisova</w:t>
      </w:r>
      <w:proofErr w:type="spellEnd"/>
      <w:r w:rsidRPr="002807C7">
        <w:rPr>
          <w:rFonts w:ascii="Times New Roman" w:hAnsi="Times New Roman" w:cs="Times New Roman"/>
          <w:b/>
          <w:lang w:val="en-GB"/>
        </w:rPr>
        <w:t xml:space="preserve"> </w:t>
      </w:r>
      <w:r w:rsidRPr="002807C7">
        <w:rPr>
          <w:rFonts w:ascii="Times New Roman" w:hAnsi="Times New Roman" w:cs="Times New Roman"/>
          <w:lang w:val="en-GB"/>
        </w:rPr>
        <w:t xml:space="preserve">— receiving research grants from Roche, </w:t>
      </w:r>
      <w:proofErr w:type="spellStart"/>
      <w:r w:rsidRPr="002807C7">
        <w:rPr>
          <w:rFonts w:ascii="Times New Roman" w:hAnsi="Times New Roman" w:cs="Times New Roman"/>
          <w:lang w:val="en-GB"/>
        </w:rPr>
        <w:t>Centocor</w:t>
      </w:r>
      <w:proofErr w:type="spellEnd"/>
      <w:r w:rsidRPr="002807C7">
        <w:rPr>
          <w:rFonts w:ascii="Times New Roman" w:hAnsi="Times New Roman" w:cs="Times New Roman"/>
          <w:lang w:val="en-GB"/>
        </w:rPr>
        <w:t>, Novartis companies.</w:t>
      </w:r>
    </w:p>
    <w:p w14:paraId="620AAFF7" w14:textId="77777777" w:rsidR="00B95A5F" w:rsidRPr="002807C7" w:rsidRDefault="00B95A5F" w:rsidP="00B95A5F">
      <w:pPr>
        <w:jc w:val="both"/>
        <w:rPr>
          <w:rFonts w:ascii="Times New Roman" w:hAnsi="Times New Roman" w:cs="Times New Roman"/>
          <w:lang w:val="en-GB"/>
        </w:rPr>
      </w:pPr>
      <w:r w:rsidRPr="002807C7">
        <w:rPr>
          <w:rFonts w:ascii="Times New Roman" w:hAnsi="Times New Roman" w:cs="Times New Roman"/>
          <w:b/>
          <w:lang w:val="en-GB"/>
        </w:rPr>
        <w:t xml:space="preserve">Tatyana V. </w:t>
      </w:r>
      <w:proofErr w:type="spellStart"/>
      <w:r w:rsidRPr="002807C7">
        <w:rPr>
          <w:rFonts w:ascii="Times New Roman" w:hAnsi="Times New Roman" w:cs="Times New Roman"/>
          <w:b/>
          <w:lang w:val="en-GB"/>
        </w:rPr>
        <w:t>Sleptsova</w:t>
      </w:r>
      <w:proofErr w:type="spellEnd"/>
      <w:r w:rsidRPr="002807C7">
        <w:rPr>
          <w:rFonts w:ascii="Times New Roman" w:hAnsi="Times New Roman" w:cs="Times New Roman"/>
          <w:b/>
          <w:lang w:val="en-GB"/>
        </w:rPr>
        <w:t xml:space="preserve"> </w:t>
      </w:r>
      <w:r w:rsidRPr="002807C7">
        <w:rPr>
          <w:rFonts w:ascii="Times New Roman" w:hAnsi="Times New Roman" w:cs="Times New Roman"/>
          <w:lang w:val="en-GB"/>
        </w:rPr>
        <w:t xml:space="preserve">— receiving research grants from </w:t>
      </w:r>
      <w:proofErr w:type="spellStart"/>
      <w:r w:rsidRPr="002807C7">
        <w:rPr>
          <w:rFonts w:ascii="Times New Roman" w:hAnsi="Times New Roman" w:cs="Times New Roman"/>
          <w:lang w:val="en-GB"/>
        </w:rPr>
        <w:t>Centocor</w:t>
      </w:r>
      <w:proofErr w:type="spellEnd"/>
      <w:r w:rsidRPr="002807C7">
        <w:rPr>
          <w:rFonts w:ascii="Times New Roman" w:hAnsi="Times New Roman" w:cs="Times New Roman"/>
          <w:lang w:val="en-GB"/>
        </w:rPr>
        <w:t>, Novartis companies.</w:t>
      </w:r>
    </w:p>
    <w:p w14:paraId="54D2352E" w14:textId="069B35F9" w:rsidR="00E706F2" w:rsidRPr="00B95A5F" w:rsidRDefault="00B95A5F" w:rsidP="002F207C">
      <w:pPr>
        <w:jc w:val="both"/>
        <w:rPr>
          <w:rFonts w:ascii="Times New Roman" w:hAnsi="Times New Roman" w:cs="Times New Roman"/>
          <w:lang w:val="en-GB"/>
        </w:rPr>
      </w:pPr>
      <w:r w:rsidRPr="002807C7">
        <w:rPr>
          <w:rFonts w:ascii="Times New Roman" w:hAnsi="Times New Roman" w:cs="Times New Roman"/>
          <w:lang w:val="en-GB"/>
        </w:rPr>
        <w:t>The other contributors confirmed the absence of a re</w:t>
      </w:r>
      <w:r>
        <w:rPr>
          <w:rFonts w:ascii="Times New Roman" w:hAnsi="Times New Roman" w:cs="Times New Roman"/>
          <w:lang w:val="en-GB"/>
        </w:rPr>
        <w:t>portable conflict of interests.</w:t>
      </w:r>
    </w:p>
    <w:sectPr w:rsidR="00E706F2" w:rsidRPr="00B95A5F" w:rsidSect="00CC3C4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0FD"/>
    <w:multiLevelType w:val="hybridMultilevel"/>
    <w:tmpl w:val="33BAD6DA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817"/>
    <w:multiLevelType w:val="hybridMultilevel"/>
    <w:tmpl w:val="10E462A2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52A8"/>
    <w:multiLevelType w:val="hybridMultilevel"/>
    <w:tmpl w:val="9B4ACAA8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67F2"/>
    <w:multiLevelType w:val="hybridMultilevel"/>
    <w:tmpl w:val="83C46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7FA0"/>
    <w:multiLevelType w:val="hybridMultilevel"/>
    <w:tmpl w:val="EBCA6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F2661B"/>
    <w:multiLevelType w:val="hybridMultilevel"/>
    <w:tmpl w:val="ED2077F4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23BB9"/>
    <w:multiLevelType w:val="hybridMultilevel"/>
    <w:tmpl w:val="C736F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F0BD7"/>
    <w:multiLevelType w:val="hybridMultilevel"/>
    <w:tmpl w:val="BD2A8A2C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A1B96"/>
    <w:multiLevelType w:val="hybridMultilevel"/>
    <w:tmpl w:val="14AEB6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7708A6"/>
    <w:multiLevelType w:val="hybridMultilevel"/>
    <w:tmpl w:val="5AC00A52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90CBB"/>
    <w:multiLevelType w:val="hybridMultilevel"/>
    <w:tmpl w:val="836E9670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453C8"/>
    <w:multiLevelType w:val="hybridMultilevel"/>
    <w:tmpl w:val="4AA27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08CB"/>
    <w:multiLevelType w:val="hybridMultilevel"/>
    <w:tmpl w:val="81B0C988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0030A"/>
    <w:multiLevelType w:val="hybridMultilevel"/>
    <w:tmpl w:val="2B6A09BA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722B6"/>
    <w:multiLevelType w:val="hybridMultilevel"/>
    <w:tmpl w:val="FD7C004A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C1FBC"/>
    <w:multiLevelType w:val="hybridMultilevel"/>
    <w:tmpl w:val="A69413EC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2770"/>
    <w:multiLevelType w:val="hybridMultilevel"/>
    <w:tmpl w:val="BFA46F82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A1DA3"/>
    <w:multiLevelType w:val="hybridMultilevel"/>
    <w:tmpl w:val="6F98736E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199"/>
    <w:multiLevelType w:val="hybridMultilevel"/>
    <w:tmpl w:val="AB3A7C74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200E3"/>
    <w:multiLevelType w:val="hybridMultilevel"/>
    <w:tmpl w:val="80D87568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769AD"/>
    <w:multiLevelType w:val="hybridMultilevel"/>
    <w:tmpl w:val="E3C24946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D4E1A"/>
    <w:multiLevelType w:val="hybridMultilevel"/>
    <w:tmpl w:val="9D6CA7C2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778B9"/>
    <w:multiLevelType w:val="hybridMultilevel"/>
    <w:tmpl w:val="461AB4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421E70"/>
    <w:multiLevelType w:val="hybridMultilevel"/>
    <w:tmpl w:val="D9A4E3FE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46688"/>
    <w:multiLevelType w:val="hybridMultilevel"/>
    <w:tmpl w:val="BCE8A8CC"/>
    <w:lvl w:ilvl="0" w:tplc="16F06DB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C1127"/>
    <w:multiLevelType w:val="hybridMultilevel"/>
    <w:tmpl w:val="8A9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5"/>
  </w:num>
  <w:num w:numId="4">
    <w:abstractNumId w:val="6"/>
  </w:num>
  <w:num w:numId="5">
    <w:abstractNumId w:val="18"/>
  </w:num>
  <w:num w:numId="6">
    <w:abstractNumId w:val="16"/>
  </w:num>
  <w:num w:numId="7">
    <w:abstractNumId w:val="10"/>
  </w:num>
  <w:num w:numId="8">
    <w:abstractNumId w:val="12"/>
  </w:num>
  <w:num w:numId="9">
    <w:abstractNumId w:val="2"/>
  </w:num>
  <w:num w:numId="10">
    <w:abstractNumId w:val="14"/>
  </w:num>
  <w:num w:numId="11">
    <w:abstractNumId w:val="24"/>
  </w:num>
  <w:num w:numId="12">
    <w:abstractNumId w:val="0"/>
  </w:num>
  <w:num w:numId="13">
    <w:abstractNumId w:val="20"/>
  </w:num>
  <w:num w:numId="14">
    <w:abstractNumId w:val="21"/>
  </w:num>
  <w:num w:numId="15">
    <w:abstractNumId w:val="1"/>
  </w:num>
  <w:num w:numId="16">
    <w:abstractNumId w:val="17"/>
  </w:num>
  <w:num w:numId="17">
    <w:abstractNumId w:val="15"/>
  </w:num>
  <w:num w:numId="18">
    <w:abstractNumId w:val="9"/>
  </w:num>
  <w:num w:numId="19">
    <w:abstractNumId w:val="13"/>
  </w:num>
  <w:num w:numId="20">
    <w:abstractNumId w:val="7"/>
  </w:num>
  <w:num w:numId="21">
    <w:abstractNumId w:val="5"/>
  </w:num>
  <w:num w:numId="22">
    <w:abstractNumId w:val="23"/>
  </w:num>
  <w:num w:numId="23">
    <w:abstractNumId w:val="19"/>
  </w:num>
  <w:num w:numId="24">
    <w:abstractNumId w:val="8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75"/>
    <w:rsid w:val="00010C4D"/>
    <w:rsid w:val="0002301A"/>
    <w:rsid w:val="00067AFB"/>
    <w:rsid w:val="00091DD2"/>
    <w:rsid w:val="000A6716"/>
    <w:rsid w:val="000B06D2"/>
    <w:rsid w:val="000C00B1"/>
    <w:rsid w:val="000C60F1"/>
    <w:rsid w:val="000E4F6F"/>
    <w:rsid w:val="0010452B"/>
    <w:rsid w:val="00145C8E"/>
    <w:rsid w:val="00162119"/>
    <w:rsid w:val="00162D9B"/>
    <w:rsid w:val="001675D7"/>
    <w:rsid w:val="001717E2"/>
    <w:rsid w:val="00187E75"/>
    <w:rsid w:val="00193E87"/>
    <w:rsid w:val="001A3211"/>
    <w:rsid w:val="001C33E9"/>
    <w:rsid w:val="001D400A"/>
    <w:rsid w:val="00211D5C"/>
    <w:rsid w:val="00213439"/>
    <w:rsid w:val="00231E19"/>
    <w:rsid w:val="00236942"/>
    <w:rsid w:val="002546EB"/>
    <w:rsid w:val="00256523"/>
    <w:rsid w:val="00266C60"/>
    <w:rsid w:val="002807C7"/>
    <w:rsid w:val="002B7C22"/>
    <w:rsid w:val="002C09DA"/>
    <w:rsid w:val="002C0CA8"/>
    <w:rsid w:val="002D0003"/>
    <w:rsid w:val="002F0B45"/>
    <w:rsid w:val="002F103E"/>
    <w:rsid w:val="002F207C"/>
    <w:rsid w:val="00301A26"/>
    <w:rsid w:val="00324A48"/>
    <w:rsid w:val="00330B29"/>
    <w:rsid w:val="00330E25"/>
    <w:rsid w:val="00344E55"/>
    <w:rsid w:val="003666B1"/>
    <w:rsid w:val="0039028F"/>
    <w:rsid w:val="00396DFD"/>
    <w:rsid w:val="003B0DB0"/>
    <w:rsid w:val="003D3872"/>
    <w:rsid w:val="003F5710"/>
    <w:rsid w:val="0041401B"/>
    <w:rsid w:val="00432A1D"/>
    <w:rsid w:val="0044239C"/>
    <w:rsid w:val="00451E78"/>
    <w:rsid w:val="004A5E2D"/>
    <w:rsid w:val="004C4971"/>
    <w:rsid w:val="004F7823"/>
    <w:rsid w:val="005318FB"/>
    <w:rsid w:val="00551F1A"/>
    <w:rsid w:val="005A0DF5"/>
    <w:rsid w:val="005B6880"/>
    <w:rsid w:val="005C3C76"/>
    <w:rsid w:val="0060283C"/>
    <w:rsid w:val="00614149"/>
    <w:rsid w:val="00616355"/>
    <w:rsid w:val="00627755"/>
    <w:rsid w:val="0068238E"/>
    <w:rsid w:val="006A00AC"/>
    <w:rsid w:val="006A0712"/>
    <w:rsid w:val="006D5626"/>
    <w:rsid w:val="006D6811"/>
    <w:rsid w:val="007002F1"/>
    <w:rsid w:val="00700C54"/>
    <w:rsid w:val="00702744"/>
    <w:rsid w:val="00710AF4"/>
    <w:rsid w:val="0071577F"/>
    <w:rsid w:val="00723120"/>
    <w:rsid w:val="007303EF"/>
    <w:rsid w:val="00740CA1"/>
    <w:rsid w:val="00750159"/>
    <w:rsid w:val="00755A8D"/>
    <w:rsid w:val="007768B9"/>
    <w:rsid w:val="00783D74"/>
    <w:rsid w:val="00792774"/>
    <w:rsid w:val="007A752A"/>
    <w:rsid w:val="007B280D"/>
    <w:rsid w:val="007B4069"/>
    <w:rsid w:val="007C01AE"/>
    <w:rsid w:val="007C138A"/>
    <w:rsid w:val="00802107"/>
    <w:rsid w:val="008032C2"/>
    <w:rsid w:val="00821CC2"/>
    <w:rsid w:val="00850D36"/>
    <w:rsid w:val="008735E1"/>
    <w:rsid w:val="008761B3"/>
    <w:rsid w:val="0089483B"/>
    <w:rsid w:val="00895AD4"/>
    <w:rsid w:val="008A05D7"/>
    <w:rsid w:val="00925951"/>
    <w:rsid w:val="0092700D"/>
    <w:rsid w:val="009348B5"/>
    <w:rsid w:val="0093553E"/>
    <w:rsid w:val="0096413C"/>
    <w:rsid w:val="00964C0B"/>
    <w:rsid w:val="009A60C9"/>
    <w:rsid w:val="009B41B8"/>
    <w:rsid w:val="009D1EFD"/>
    <w:rsid w:val="009E1036"/>
    <w:rsid w:val="00A02199"/>
    <w:rsid w:val="00A05B7B"/>
    <w:rsid w:val="00A23F20"/>
    <w:rsid w:val="00A2778C"/>
    <w:rsid w:val="00A51AA5"/>
    <w:rsid w:val="00A53762"/>
    <w:rsid w:val="00A82AC0"/>
    <w:rsid w:val="00AA2313"/>
    <w:rsid w:val="00AA639F"/>
    <w:rsid w:val="00B00EDA"/>
    <w:rsid w:val="00B404EE"/>
    <w:rsid w:val="00B52307"/>
    <w:rsid w:val="00B558A8"/>
    <w:rsid w:val="00B57CC5"/>
    <w:rsid w:val="00B84D62"/>
    <w:rsid w:val="00B952E1"/>
    <w:rsid w:val="00B95A5F"/>
    <w:rsid w:val="00BC48DA"/>
    <w:rsid w:val="00BC5BCF"/>
    <w:rsid w:val="00BD0252"/>
    <w:rsid w:val="00BE4475"/>
    <w:rsid w:val="00C352FB"/>
    <w:rsid w:val="00C4394E"/>
    <w:rsid w:val="00CC3C4D"/>
    <w:rsid w:val="00CD02D2"/>
    <w:rsid w:val="00CF17F1"/>
    <w:rsid w:val="00D13E08"/>
    <w:rsid w:val="00D268E0"/>
    <w:rsid w:val="00D26D30"/>
    <w:rsid w:val="00D43C75"/>
    <w:rsid w:val="00D45EA5"/>
    <w:rsid w:val="00D91D44"/>
    <w:rsid w:val="00DD02CB"/>
    <w:rsid w:val="00DE4A7B"/>
    <w:rsid w:val="00DF3BD0"/>
    <w:rsid w:val="00E11556"/>
    <w:rsid w:val="00E52082"/>
    <w:rsid w:val="00E706F2"/>
    <w:rsid w:val="00EA299C"/>
    <w:rsid w:val="00EC20A7"/>
    <w:rsid w:val="00EC6570"/>
    <w:rsid w:val="00F01A5B"/>
    <w:rsid w:val="00F24BE7"/>
    <w:rsid w:val="00F95357"/>
    <w:rsid w:val="00F97360"/>
    <w:rsid w:val="00F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5F193"/>
  <w14:defaultImageDpi w14:val="300"/>
  <w15:docId w15:val="{EAEDF503-D2ED-4CC0-9CAA-53E33AD6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7E75"/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51E78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2807C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6716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716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Sladkov</dc:creator>
  <cp:keywords/>
  <dc:description/>
  <cp:lastModifiedBy>Redactor</cp:lastModifiedBy>
  <cp:revision>2</cp:revision>
  <dcterms:created xsi:type="dcterms:W3CDTF">2019-04-11T05:28:00Z</dcterms:created>
  <dcterms:modified xsi:type="dcterms:W3CDTF">2019-04-11T05:28:00Z</dcterms:modified>
</cp:coreProperties>
</file>