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35BBF" w14:textId="2E36EFD5" w:rsidR="009F1364" w:rsidRPr="00405446" w:rsidRDefault="00E61F39" w:rsidP="0040544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Natalya N.</w:t>
      </w:r>
      <w:r w:rsidRPr="00E61F39">
        <w:rPr>
          <w:rFonts w:ascii="Times New Roman" w:hAnsi="Times New Roman" w:cs="Times New Roman"/>
          <w:b/>
          <w:sz w:val="24"/>
          <w:szCs w:val="24"/>
          <w:lang w:val="en-US"/>
        </w:rPr>
        <w:t> </w:t>
      </w:r>
      <w:proofErr w:type="spellStart"/>
      <w:r>
        <w:rPr>
          <w:rFonts w:ascii="Times New Roman" w:hAnsi="Times New Roman" w:cs="Times New Roman"/>
          <w:b/>
          <w:sz w:val="24"/>
          <w:szCs w:val="24"/>
          <w:lang w:val="en-US"/>
        </w:rPr>
        <w:t>Korableva</w:t>
      </w:r>
      <w:proofErr w:type="spellEnd"/>
      <w:r>
        <w:rPr>
          <w:rFonts w:ascii="Times New Roman" w:hAnsi="Times New Roman" w:cs="Times New Roman"/>
          <w:b/>
          <w:sz w:val="24"/>
          <w:szCs w:val="24"/>
          <w:lang w:val="en-US"/>
        </w:rPr>
        <w:t>, Ekaterina N.</w:t>
      </w:r>
      <w:r w:rsidRPr="00E61F39">
        <w:rPr>
          <w:rFonts w:ascii="Times New Roman" w:hAnsi="Times New Roman" w:cs="Times New Roman"/>
          <w:b/>
          <w:sz w:val="24"/>
          <w:szCs w:val="24"/>
          <w:lang w:val="en-US"/>
        </w:rPr>
        <w:t> </w:t>
      </w:r>
      <w:proofErr w:type="spellStart"/>
      <w:r>
        <w:rPr>
          <w:rFonts w:ascii="Times New Roman" w:hAnsi="Times New Roman" w:cs="Times New Roman"/>
          <w:b/>
          <w:sz w:val="24"/>
          <w:szCs w:val="24"/>
          <w:lang w:val="en-US"/>
        </w:rPr>
        <w:t>Pershina</w:t>
      </w:r>
      <w:proofErr w:type="spellEnd"/>
      <w:r>
        <w:rPr>
          <w:rFonts w:ascii="Times New Roman" w:hAnsi="Times New Roman" w:cs="Times New Roman"/>
          <w:b/>
          <w:sz w:val="24"/>
          <w:szCs w:val="24"/>
          <w:lang w:val="en-US"/>
        </w:rPr>
        <w:t>, Vladimir A.</w:t>
      </w:r>
      <w:r w:rsidRPr="00E61F39">
        <w:rPr>
          <w:rFonts w:ascii="Times New Roman" w:hAnsi="Times New Roman" w:cs="Times New Roman"/>
          <w:b/>
          <w:sz w:val="24"/>
          <w:szCs w:val="24"/>
          <w:lang w:val="en-US"/>
        </w:rPr>
        <w:t> </w:t>
      </w:r>
      <w:proofErr w:type="spellStart"/>
      <w:r w:rsidR="009F1364" w:rsidRPr="0040367D">
        <w:rPr>
          <w:rFonts w:ascii="Times New Roman" w:hAnsi="Times New Roman" w:cs="Times New Roman"/>
          <w:b/>
          <w:sz w:val="24"/>
          <w:szCs w:val="24"/>
          <w:lang w:val="en-US"/>
        </w:rPr>
        <w:t>Gusev</w:t>
      </w:r>
      <w:proofErr w:type="spellEnd"/>
    </w:p>
    <w:p w14:paraId="4C0028F2" w14:textId="77777777" w:rsidR="00CA2975" w:rsidRPr="0040367D" w:rsidRDefault="00CA2975" w:rsidP="00405446">
      <w:pPr>
        <w:spacing w:after="0" w:line="240" w:lineRule="auto"/>
        <w:jc w:val="both"/>
        <w:rPr>
          <w:rFonts w:ascii="Times New Roman" w:hAnsi="Times New Roman" w:cs="Times New Roman"/>
          <w:sz w:val="24"/>
          <w:szCs w:val="24"/>
          <w:lang w:val="en-US"/>
        </w:rPr>
      </w:pPr>
    </w:p>
    <w:p w14:paraId="0FE93F79" w14:textId="77777777" w:rsidR="0040367D" w:rsidRPr="001F1646" w:rsidRDefault="0040367D" w:rsidP="0040367D">
      <w:pPr>
        <w:spacing w:after="0" w:line="240" w:lineRule="auto"/>
        <w:jc w:val="both"/>
        <w:rPr>
          <w:rFonts w:ascii="Times New Roman" w:hAnsi="Times New Roman" w:cs="Times New Roman"/>
          <w:sz w:val="24"/>
          <w:szCs w:val="24"/>
          <w:lang w:val="en-US"/>
        </w:rPr>
      </w:pPr>
      <w:proofErr w:type="spellStart"/>
      <w:r w:rsidRPr="001F1646">
        <w:rPr>
          <w:rFonts w:ascii="Times New Roman" w:hAnsi="Times New Roman" w:cs="Times New Roman"/>
          <w:sz w:val="24"/>
          <w:szCs w:val="24"/>
          <w:lang w:val="en-US"/>
        </w:rPr>
        <w:t>Pitirim</w:t>
      </w:r>
      <w:proofErr w:type="spellEnd"/>
      <w:r w:rsidRPr="001F1646">
        <w:rPr>
          <w:rFonts w:ascii="Times New Roman" w:hAnsi="Times New Roman" w:cs="Times New Roman"/>
          <w:sz w:val="24"/>
          <w:szCs w:val="24"/>
          <w:lang w:val="en-US"/>
        </w:rPr>
        <w:t xml:space="preserve"> Sorokin Syktyvkar State University, Syktyvkar, Russian Federation</w:t>
      </w:r>
    </w:p>
    <w:p w14:paraId="3D2FA11C" w14:textId="77777777" w:rsidR="00CA2975" w:rsidRPr="0040367D" w:rsidRDefault="00CA2975" w:rsidP="00405446">
      <w:pPr>
        <w:spacing w:after="0" w:line="240" w:lineRule="auto"/>
        <w:jc w:val="both"/>
        <w:rPr>
          <w:rFonts w:ascii="Times New Roman" w:hAnsi="Times New Roman" w:cs="Times New Roman"/>
          <w:sz w:val="24"/>
          <w:szCs w:val="24"/>
          <w:lang w:val="en-US"/>
        </w:rPr>
      </w:pPr>
    </w:p>
    <w:p w14:paraId="6717028B" w14:textId="1F0FF284" w:rsidR="0025343D" w:rsidRPr="005F6F9C" w:rsidRDefault="0028491B" w:rsidP="00CA2975">
      <w:pPr>
        <w:spacing w:after="0" w:line="240" w:lineRule="auto"/>
        <w:jc w:val="both"/>
        <w:rPr>
          <w:rFonts w:ascii="Times New Roman" w:hAnsi="Times New Roman" w:cs="Times New Roman"/>
          <w:b/>
          <w:sz w:val="32"/>
          <w:szCs w:val="24"/>
          <w:lang w:val="en-US"/>
        </w:rPr>
      </w:pPr>
      <w:r>
        <w:rPr>
          <w:rFonts w:ascii="Times New Roman" w:hAnsi="Times New Roman" w:cs="Times New Roman"/>
          <w:b/>
          <w:sz w:val="32"/>
          <w:szCs w:val="24"/>
          <w:lang w:val="en-US"/>
        </w:rPr>
        <w:t>The Prevalence of Symptoms of Life-Threatening Events in Children of the First Year of L</w:t>
      </w:r>
      <w:r w:rsidR="0040367D" w:rsidRPr="005F6F9C">
        <w:rPr>
          <w:rFonts w:ascii="Times New Roman" w:hAnsi="Times New Roman" w:cs="Times New Roman"/>
          <w:b/>
          <w:sz w:val="32"/>
          <w:szCs w:val="24"/>
          <w:lang w:val="en-US"/>
        </w:rPr>
        <w:t xml:space="preserve">ife: a </w:t>
      </w:r>
      <w:r>
        <w:rPr>
          <w:rFonts w:ascii="Times New Roman" w:hAnsi="Times New Roman" w:cs="Times New Roman"/>
          <w:b/>
          <w:sz w:val="32"/>
          <w:szCs w:val="24"/>
          <w:lang w:val="en-US"/>
        </w:rPr>
        <w:t>Cross-S</w:t>
      </w:r>
      <w:r w:rsidR="0040367D" w:rsidRPr="005F6F9C">
        <w:rPr>
          <w:rFonts w:ascii="Times New Roman" w:hAnsi="Times New Roman" w:cs="Times New Roman"/>
          <w:b/>
          <w:sz w:val="32"/>
          <w:szCs w:val="24"/>
          <w:lang w:val="en-US"/>
        </w:rPr>
        <w:t>ectional</w:t>
      </w:r>
      <w:r>
        <w:rPr>
          <w:rFonts w:ascii="Times New Roman" w:hAnsi="Times New Roman" w:cs="Times New Roman"/>
          <w:b/>
          <w:sz w:val="32"/>
          <w:szCs w:val="24"/>
          <w:lang w:val="en-US"/>
        </w:rPr>
        <w:t xml:space="preserve"> Population S</w:t>
      </w:r>
      <w:r w:rsidR="0040367D" w:rsidRPr="005F6F9C">
        <w:rPr>
          <w:rFonts w:ascii="Times New Roman" w:hAnsi="Times New Roman" w:cs="Times New Roman"/>
          <w:b/>
          <w:sz w:val="32"/>
          <w:szCs w:val="24"/>
          <w:lang w:val="en-US"/>
        </w:rPr>
        <w:t>tudy</w:t>
      </w:r>
    </w:p>
    <w:p w14:paraId="5626CC68" w14:textId="77777777" w:rsidR="005F6F9C" w:rsidRPr="00E61F39" w:rsidRDefault="005F6F9C" w:rsidP="005F6F9C">
      <w:pPr>
        <w:spacing w:after="0" w:line="240" w:lineRule="auto"/>
        <w:jc w:val="both"/>
        <w:rPr>
          <w:rFonts w:ascii="Times New Roman" w:hAnsi="Times New Roman" w:cs="Times New Roman"/>
          <w:sz w:val="24"/>
          <w:szCs w:val="24"/>
          <w:lang w:val="en-US"/>
        </w:rPr>
      </w:pPr>
    </w:p>
    <w:p w14:paraId="024C9A3B" w14:textId="37CA1510" w:rsidR="005F6F9C" w:rsidRPr="00AA7490" w:rsidRDefault="00E61F39" w:rsidP="005F6F9C">
      <w:pPr>
        <w:spacing w:after="0" w:line="240" w:lineRule="auto"/>
        <w:jc w:val="both"/>
        <w:rPr>
          <w:rFonts w:ascii="Times New Roman" w:hAnsi="Times New Roman" w:cs="Times New Roman"/>
          <w:b/>
          <w:sz w:val="24"/>
          <w:szCs w:val="24"/>
          <w:lang w:val="en-GB"/>
        </w:rPr>
      </w:pPr>
      <w:r w:rsidRPr="00E61F39">
        <w:rPr>
          <w:rFonts w:ascii="Times New Roman" w:hAnsi="Times New Roman" w:cs="Times New Roman"/>
          <w:b/>
          <w:sz w:val="24"/>
          <w:lang w:val="en-GB"/>
        </w:rPr>
        <w:t>Corresponding</w:t>
      </w:r>
      <w:r w:rsidR="005F6F9C" w:rsidRPr="00E61F39">
        <w:rPr>
          <w:rFonts w:ascii="Times New Roman" w:hAnsi="Times New Roman" w:cs="Times New Roman"/>
          <w:b/>
          <w:sz w:val="28"/>
          <w:szCs w:val="24"/>
          <w:lang w:val="en-GB"/>
        </w:rPr>
        <w:t xml:space="preserve"> </w:t>
      </w:r>
      <w:r w:rsidR="00304702">
        <w:rPr>
          <w:rFonts w:ascii="Times New Roman" w:hAnsi="Times New Roman" w:cs="Times New Roman"/>
          <w:b/>
          <w:sz w:val="24"/>
          <w:szCs w:val="24"/>
          <w:lang w:val="en-GB"/>
        </w:rPr>
        <w:t>author</w:t>
      </w:r>
      <w:r w:rsidR="005F6F9C" w:rsidRPr="00AA7490">
        <w:rPr>
          <w:rFonts w:ascii="Times New Roman" w:hAnsi="Times New Roman" w:cs="Times New Roman"/>
          <w:b/>
          <w:sz w:val="24"/>
          <w:szCs w:val="24"/>
          <w:lang w:val="en-GB"/>
        </w:rPr>
        <w:t>:</w:t>
      </w:r>
    </w:p>
    <w:p w14:paraId="4FC56887" w14:textId="19A1075E" w:rsidR="005F6F9C" w:rsidRPr="00AA7490" w:rsidRDefault="005F6F9C" w:rsidP="005F6F9C">
      <w:pPr>
        <w:spacing w:after="0" w:line="240" w:lineRule="auto"/>
        <w:jc w:val="both"/>
        <w:rPr>
          <w:rFonts w:ascii="Times New Roman" w:hAnsi="Times New Roman" w:cs="Times New Roman"/>
          <w:sz w:val="24"/>
          <w:szCs w:val="24"/>
          <w:lang w:val="en-GB"/>
        </w:rPr>
      </w:pPr>
      <w:proofErr w:type="spellStart"/>
      <w:r w:rsidRPr="00AA7490">
        <w:rPr>
          <w:rFonts w:ascii="Times New Roman" w:hAnsi="Times New Roman" w:cs="Times New Roman"/>
          <w:i/>
          <w:sz w:val="24"/>
          <w:szCs w:val="24"/>
          <w:lang w:val="en-GB"/>
        </w:rPr>
        <w:t>Korableva</w:t>
      </w:r>
      <w:proofErr w:type="spellEnd"/>
      <w:r w:rsidRPr="00AA7490">
        <w:rPr>
          <w:rFonts w:ascii="Times New Roman" w:hAnsi="Times New Roman" w:cs="Times New Roman"/>
          <w:i/>
          <w:sz w:val="24"/>
          <w:szCs w:val="24"/>
          <w:lang w:val="en-GB"/>
        </w:rPr>
        <w:t xml:space="preserve"> Natalya </w:t>
      </w:r>
      <w:proofErr w:type="spellStart"/>
      <w:r w:rsidRPr="00AA7490">
        <w:rPr>
          <w:rFonts w:ascii="Times New Roman" w:hAnsi="Times New Roman" w:cs="Times New Roman"/>
          <w:i/>
          <w:sz w:val="24"/>
          <w:szCs w:val="24"/>
          <w:lang w:val="en-GB"/>
        </w:rPr>
        <w:t>Nikolaevna</w:t>
      </w:r>
      <w:proofErr w:type="spellEnd"/>
      <w:r w:rsidRPr="00AA7490">
        <w:rPr>
          <w:rFonts w:ascii="Times New Roman" w:hAnsi="Times New Roman" w:cs="Times New Roman"/>
          <w:sz w:val="24"/>
          <w:szCs w:val="24"/>
          <w:lang w:val="en-GB"/>
        </w:rPr>
        <w:t xml:space="preserve">, </w:t>
      </w:r>
      <w:r w:rsidR="002468C2">
        <w:rPr>
          <w:rFonts w:ascii="Times New Roman" w:hAnsi="Times New Roman" w:cs="Times New Roman"/>
          <w:sz w:val="24"/>
          <w:szCs w:val="24"/>
          <w:lang w:val="en-US"/>
        </w:rPr>
        <w:t xml:space="preserve">MD, </w:t>
      </w:r>
      <w:r w:rsidRPr="00AA7490">
        <w:rPr>
          <w:rFonts w:ascii="Times New Roman" w:hAnsi="Times New Roman" w:cs="Times New Roman"/>
          <w:sz w:val="24"/>
          <w:szCs w:val="24"/>
          <w:lang w:val="en-GB"/>
        </w:rPr>
        <w:t>PhD, assistant professor, head of paediatric department of Medical institutio</w:t>
      </w:r>
      <w:r>
        <w:rPr>
          <w:rFonts w:ascii="Times New Roman" w:hAnsi="Times New Roman" w:cs="Times New Roman"/>
          <w:sz w:val="24"/>
          <w:szCs w:val="24"/>
          <w:lang w:val="en-GB"/>
        </w:rPr>
        <w:t xml:space="preserve">n in </w:t>
      </w:r>
      <w:proofErr w:type="spellStart"/>
      <w:r>
        <w:rPr>
          <w:rFonts w:ascii="Times New Roman" w:hAnsi="Times New Roman" w:cs="Times New Roman"/>
          <w:sz w:val="24"/>
          <w:szCs w:val="24"/>
          <w:lang w:val="en-GB"/>
        </w:rPr>
        <w:t>Pitirim</w:t>
      </w:r>
      <w:proofErr w:type="spellEnd"/>
      <w:r>
        <w:rPr>
          <w:rFonts w:ascii="Times New Roman" w:hAnsi="Times New Roman" w:cs="Times New Roman"/>
          <w:sz w:val="24"/>
          <w:szCs w:val="24"/>
          <w:lang w:val="en-GB"/>
        </w:rPr>
        <w:t xml:space="preserve"> Sorokin Syktyvkar </w:t>
      </w:r>
      <w:r>
        <w:rPr>
          <w:rFonts w:ascii="Times New Roman" w:hAnsi="Times New Roman" w:cs="Times New Roman"/>
          <w:sz w:val="24"/>
          <w:szCs w:val="24"/>
          <w:lang w:val="en-US"/>
        </w:rPr>
        <w:t>S</w:t>
      </w:r>
      <w:proofErr w:type="spellStart"/>
      <w:r>
        <w:rPr>
          <w:rFonts w:ascii="Times New Roman" w:hAnsi="Times New Roman" w:cs="Times New Roman"/>
          <w:sz w:val="24"/>
          <w:szCs w:val="24"/>
          <w:lang w:val="en-GB"/>
        </w:rPr>
        <w:t>tate</w:t>
      </w:r>
      <w:proofErr w:type="spellEnd"/>
      <w:r>
        <w:rPr>
          <w:rFonts w:ascii="Times New Roman" w:hAnsi="Times New Roman" w:cs="Times New Roman"/>
          <w:sz w:val="24"/>
          <w:szCs w:val="24"/>
          <w:lang w:val="en-GB"/>
        </w:rPr>
        <w:t xml:space="preserve"> U</w:t>
      </w:r>
      <w:r w:rsidRPr="00AA7490">
        <w:rPr>
          <w:rFonts w:ascii="Times New Roman" w:hAnsi="Times New Roman" w:cs="Times New Roman"/>
          <w:sz w:val="24"/>
          <w:szCs w:val="24"/>
          <w:lang w:val="en-GB"/>
        </w:rPr>
        <w:t>niversity</w:t>
      </w:r>
    </w:p>
    <w:p w14:paraId="6347EB7E" w14:textId="51A46A21" w:rsidR="005F6F9C" w:rsidRPr="00AA7490" w:rsidRDefault="005F6F9C" w:rsidP="005F6F9C">
      <w:pPr>
        <w:spacing w:after="0" w:line="240" w:lineRule="auto"/>
        <w:jc w:val="both"/>
        <w:rPr>
          <w:rFonts w:ascii="Times New Roman" w:hAnsi="Times New Roman" w:cs="Times New Roman"/>
          <w:sz w:val="24"/>
          <w:szCs w:val="24"/>
          <w:lang w:val="en-GB"/>
        </w:rPr>
      </w:pPr>
      <w:r w:rsidRPr="00AA7490">
        <w:rPr>
          <w:rFonts w:ascii="Times New Roman" w:hAnsi="Times New Roman" w:cs="Times New Roman"/>
          <w:b/>
          <w:sz w:val="24"/>
          <w:szCs w:val="24"/>
          <w:lang w:val="en-GB"/>
        </w:rPr>
        <w:t>Address:</w:t>
      </w:r>
      <w:r w:rsidRPr="00AA7490">
        <w:rPr>
          <w:rFonts w:ascii="Times New Roman" w:hAnsi="Times New Roman" w:cs="Times New Roman"/>
          <w:sz w:val="24"/>
          <w:szCs w:val="24"/>
          <w:lang w:val="en-GB"/>
        </w:rPr>
        <w:t xml:space="preserve"> 167001, Syktyvkar, </w:t>
      </w:r>
      <w:proofErr w:type="spellStart"/>
      <w:r w:rsidRPr="00AA7490">
        <w:rPr>
          <w:rFonts w:ascii="Times New Roman" w:hAnsi="Times New Roman" w:cs="Times New Roman"/>
          <w:sz w:val="24"/>
          <w:szCs w:val="24"/>
          <w:lang w:val="en-GB"/>
        </w:rPr>
        <w:t>Oktyabrsky</w:t>
      </w:r>
      <w:proofErr w:type="spellEnd"/>
      <w:r w:rsidRPr="00AA7490">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US"/>
        </w:rPr>
        <w:t>ave.</w:t>
      </w:r>
      <w:proofErr w:type="spellEnd"/>
      <w:r w:rsidRPr="00AA7490">
        <w:rPr>
          <w:rFonts w:ascii="Times New Roman" w:hAnsi="Times New Roman" w:cs="Times New Roman"/>
          <w:sz w:val="24"/>
          <w:szCs w:val="24"/>
          <w:lang w:val="en-GB"/>
        </w:rPr>
        <w:t xml:space="preserve">, 55, </w:t>
      </w:r>
      <w:r w:rsidR="00304702">
        <w:rPr>
          <w:rFonts w:ascii="Times New Roman" w:hAnsi="Times New Roman" w:cs="Times New Roman"/>
          <w:b/>
          <w:sz w:val="24"/>
          <w:szCs w:val="24"/>
          <w:lang w:val="en-GB"/>
        </w:rPr>
        <w:t>phone</w:t>
      </w:r>
      <w:r w:rsidRPr="00AA7490">
        <w:rPr>
          <w:rFonts w:ascii="Times New Roman" w:hAnsi="Times New Roman" w:cs="Times New Roman"/>
          <w:b/>
          <w:sz w:val="24"/>
          <w:szCs w:val="24"/>
          <w:lang w:val="en-GB"/>
        </w:rPr>
        <w:t>:</w:t>
      </w:r>
      <w:r w:rsidRPr="00AA7490">
        <w:rPr>
          <w:rFonts w:ascii="Times New Roman" w:hAnsi="Times New Roman" w:cs="Times New Roman"/>
          <w:sz w:val="24"/>
          <w:szCs w:val="24"/>
          <w:lang w:val="en-GB"/>
        </w:rPr>
        <w:t xml:space="preserve"> +7 (8212) 39-04-13, </w:t>
      </w:r>
      <w:r w:rsidRPr="00AA7490">
        <w:rPr>
          <w:rFonts w:ascii="Times New Roman" w:hAnsi="Times New Roman" w:cs="Times New Roman"/>
          <w:b/>
          <w:sz w:val="24"/>
          <w:szCs w:val="24"/>
          <w:lang w:val="en-GB"/>
        </w:rPr>
        <w:t>e-mail:</w:t>
      </w:r>
      <w:r w:rsidRPr="00AA7490">
        <w:rPr>
          <w:rFonts w:ascii="Times New Roman" w:hAnsi="Times New Roman" w:cs="Times New Roman"/>
          <w:sz w:val="24"/>
          <w:szCs w:val="24"/>
          <w:lang w:val="en-GB"/>
        </w:rPr>
        <w:t xml:space="preserve"> </w:t>
      </w:r>
      <w:hyperlink r:id="rId9" w:history="1">
        <w:r w:rsidRPr="00AA7490">
          <w:rPr>
            <w:rStyle w:val="a3"/>
            <w:rFonts w:ascii="Times New Roman" w:hAnsi="Times New Roman" w:cs="Times New Roman"/>
            <w:color w:val="auto"/>
            <w:sz w:val="24"/>
            <w:szCs w:val="24"/>
            <w:u w:val="none"/>
            <w:lang w:val="en-GB"/>
          </w:rPr>
          <w:t>kemcard@yandex.ru</w:t>
        </w:r>
      </w:hyperlink>
    </w:p>
    <w:p w14:paraId="5922398E" w14:textId="12DF3826" w:rsidR="005F6F9C" w:rsidRPr="00AA7490" w:rsidRDefault="005F6F9C" w:rsidP="005F6F9C">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US"/>
        </w:rPr>
        <w:t>Article r</w:t>
      </w:r>
      <w:proofErr w:type="spellStart"/>
      <w:r w:rsidRPr="00AA7490">
        <w:rPr>
          <w:rFonts w:ascii="Times New Roman" w:hAnsi="Times New Roman" w:cs="Times New Roman"/>
          <w:b/>
          <w:sz w:val="24"/>
          <w:szCs w:val="24"/>
          <w:lang w:val="en-GB"/>
        </w:rPr>
        <w:t>ecieved</w:t>
      </w:r>
      <w:proofErr w:type="spellEnd"/>
      <w:r w:rsidRPr="00AA7490">
        <w:rPr>
          <w:rFonts w:ascii="Times New Roman" w:hAnsi="Times New Roman" w:cs="Times New Roman"/>
          <w:b/>
          <w:sz w:val="24"/>
          <w:szCs w:val="24"/>
          <w:lang w:val="en-GB"/>
        </w:rPr>
        <w:t>:</w:t>
      </w:r>
      <w:r w:rsidRPr="00AA7490">
        <w:rPr>
          <w:rFonts w:ascii="Times New Roman" w:hAnsi="Times New Roman" w:cs="Times New Roman"/>
          <w:sz w:val="24"/>
          <w:szCs w:val="24"/>
          <w:lang w:val="en-GB"/>
        </w:rPr>
        <w:t xml:space="preserve"> </w:t>
      </w:r>
      <w:r w:rsidR="00304702">
        <w:rPr>
          <w:rFonts w:ascii="Times New Roman" w:hAnsi="Times New Roman" w:cs="Times New Roman"/>
          <w:sz w:val="24"/>
          <w:szCs w:val="24"/>
          <w:lang w:val="en-GB"/>
        </w:rPr>
        <w:t xml:space="preserve">Feb 5, </w:t>
      </w:r>
      <w:r w:rsidRPr="00AA7490">
        <w:rPr>
          <w:rFonts w:ascii="Times New Roman" w:hAnsi="Times New Roman" w:cs="Times New Roman"/>
          <w:sz w:val="24"/>
          <w:szCs w:val="24"/>
          <w:lang w:val="en-GB"/>
        </w:rPr>
        <w:t xml:space="preserve">2019, </w:t>
      </w:r>
      <w:r w:rsidR="00304702">
        <w:rPr>
          <w:rFonts w:ascii="Times New Roman" w:hAnsi="Times New Roman" w:cs="Times New Roman"/>
          <w:b/>
          <w:sz w:val="24"/>
          <w:szCs w:val="24"/>
          <w:lang w:val="en-GB"/>
        </w:rPr>
        <w:t>submitted</w:t>
      </w:r>
      <w:r w:rsidRPr="00AA7490">
        <w:rPr>
          <w:rFonts w:ascii="Times New Roman" w:hAnsi="Times New Roman" w:cs="Times New Roman"/>
          <w:b/>
          <w:sz w:val="24"/>
          <w:szCs w:val="24"/>
          <w:lang w:val="en-GB"/>
        </w:rPr>
        <w:t xml:space="preserve"> for publication:</w:t>
      </w:r>
      <w:r w:rsidRPr="00AA7490">
        <w:rPr>
          <w:rFonts w:ascii="Times New Roman" w:hAnsi="Times New Roman" w:cs="Times New Roman"/>
          <w:sz w:val="24"/>
          <w:szCs w:val="24"/>
          <w:lang w:val="en-GB"/>
        </w:rPr>
        <w:t xml:space="preserve"> </w:t>
      </w:r>
      <w:r w:rsidR="00304702">
        <w:rPr>
          <w:rFonts w:ascii="Times New Roman" w:hAnsi="Times New Roman" w:cs="Times New Roman"/>
          <w:sz w:val="24"/>
          <w:szCs w:val="24"/>
          <w:lang w:val="en-GB"/>
        </w:rPr>
        <w:t xml:space="preserve">Apr 26, </w:t>
      </w:r>
      <w:r w:rsidRPr="00AA7490">
        <w:rPr>
          <w:rFonts w:ascii="Times New Roman" w:hAnsi="Times New Roman" w:cs="Times New Roman"/>
          <w:sz w:val="24"/>
          <w:szCs w:val="24"/>
          <w:lang w:val="en-GB"/>
        </w:rPr>
        <w:t>2019.</w:t>
      </w:r>
    </w:p>
    <w:p w14:paraId="3F9B160F" w14:textId="77777777" w:rsidR="0040367D" w:rsidRPr="005F6F9C" w:rsidRDefault="0040367D" w:rsidP="004402F8">
      <w:pPr>
        <w:spacing w:after="0" w:line="240" w:lineRule="auto"/>
        <w:jc w:val="both"/>
        <w:rPr>
          <w:rFonts w:ascii="Times New Roman" w:hAnsi="Times New Roman" w:cs="Times New Roman"/>
          <w:sz w:val="24"/>
          <w:szCs w:val="24"/>
          <w:lang w:val="en-GB"/>
        </w:rPr>
      </w:pPr>
    </w:p>
    <w:p w14:paraId="69CF8964" w14:textId="31816CDC" w:rsidR="0040367D" w:rsidRPr="005F6F9C" w:rsidRDefault="005F6F9C" w:rsidP="0040367D">
      <w:pPr>
        <w:spacing w:after="0" w:line="240" w:lineRule="auto"/>
        <w:jc w:val="both"/>
        <w:rPr>
          <w:rFonts w:ascii="Times New Roman" w:hAnsi="Times New Roman" w:cs="Times New Roman"/>
          <w:i/>
          <w:sz w:val="24"/>
          <w:szCs w:val="24"/>
          <w:lang w:val="en-US"/>
        </w:rPr>
      </w:pPr>
      <w:proofErr w:type="gramStart"/>
      <w:r w:rsidRPr="002468C2">
        <w:rPr>
          <w:rFonts w:ascii="Times New Roman" w:hAnsi="Times New Roman" w:cs="Times New Roman"/>
          <w:b/>
          <w:i/>
          <w:sz w:val="24"/>
          <w:szCs w:val="24"/>
          <w:lang w:val="en-US"/>
        </w:rPr>
        <w:t>Background</w:t>
      </w:r>
      <w:r w:rsidRPr="002468C2">
        <w:rPr>
          <w:rFonts w:ascii="Times New Roman" w:hAnsi="Times New Roman" w:cs="Times New Roman"/>
          <w:i/>
          <w:sz w:val="24"/>
          <w:szCs w:val="24"/>
          <w:lang w:val="en-US"/>
        </w:rPr>
        <w:t>.</w:t>
      </w:r>
      <w:proofErr w:type="gramEnd"/>
      <w:r w:rsidRPr="005F6F9C">
        <w:rPr>
          <w:rFonts w:ascii="Times New Roman" w:hAnsi="Times New Roman" w:cs="Times New Roman"/>
          <w:sz w:val="24"/>
          <w:szCs w:val="24"/>
          <w:lang w:val="en-US"/>
        </w:rPr>
        <w:t xml:space="preserve"> </w:t>
      </w:r>
      <w:r w:rsidR="0040367D" w:rsidRPr="002468C2">
        <w:rPr>
          <w:rFonts w:ascii="Times New Roman" w:hAnsi="Times New Roman" w:cs="Times New Roman"/>
          <w:i/>
          <w:sz w:val="24"/>
          <w:szCs w:val="24"/>
          <w:lang w:val="en-US"/>
        </w:rPr>
        <w:t>The prevalence of symptoms of life-threatening events in infants was previously</w:t>
      </w:r>
      <w:r w:rsidR="0040367D" w:rsidRPr="005C4B76">
        <w:rPr>
          <w:rFonts w:ascii="Times New Roman" w:hAnsi="Times New Roman" w:cs="Times New Roman"/>
          <w:sz w:val="24"/>
          <w:szCs w:val="24"/>
          <w:lang w:val="en-US"/>
        </w:rPr>
        <w:t xml:space="preserve"> </w:t>
      </w:r>
      <w:r w:rsidR="0040367D" w:rsidRPr="005F6F9C">
        <w:rPr>
          <w:rFonts w:ascii="Times New Roman" w:hAnsi="Times New Roman" w:cs="Times New Roman"/>
          <w:i/>
          <w:sz w:val="24"/>
          <w:szCs w:val="24"/>
          <w:lang w:val="en-US"/>
        </w:rPr>
        <w:t xml:space="preserve">studied using hospital data. However, not all parents in the event of such symptoms seek medical help in the hospital. </w:t>
      </w:r>
      <w:proofErr w:type="gramStart"/>
      <w:r w:rsidRPr="005F6F9C">
        <w:rPr>
          <w:rFonts w:ascii="Times New Roman" w:hAnsi="Times New Roman" w:cs="Times New Roman"/>
          <w:b/>
          <w:i/>
          <w:sz w:val="24"/>
          <w:szCs w:val="24"/>
          <w:lang w:val="en-US"/>
        </w:rPr>
        <w:t>Objective.</w:t>
      </w:r>
      <w:proofErr w:type="gramEnd"/>
      <w:r w:rsidRPr="005F6F9C">
        <w:rPr>
          <w:rFonts w:ascii="Times New Roman" w:hAnsi="Times New Roman" w:cs="Times New Roman"/>
          <w:i/>
          <w:sz w:val="24"/>
          <w:szCs w:val="24"/>
          <w:lang w:val="en-US"/>
        </w:rPr>
        <w:t xml:space="preserve"> </w:t>
      </w:r>
      <w:r w:rsidR="0040367D" w:rsidRPr="005F6F9C">
        <w:rPr>
          <w:rFonts w:ascii="Times New Roman" w:hAnsi="Times New Roman" w:cs="Times New Roman"/>
          <w:i/>
          <w:sz w:val="24"/>
          <w:szCs w:val="24"/>
          <w:lang w:val="en-US"/>
        </w:rPr>
        <w:t xml:space="preserve">The purpose of the study was to identify the prevalence and risk factors of life-threatening events in children in the first year of life. </w:t>
      </w:r>
      <w:proofErr w:type="gramStart"/>
      <w:r w:rsidR="0040367D" w:rsidRPr="005F6F9C">
        <w:rPr>
          <w:rFonts w:ascii="Times New Roman" w:hAnsi="Times New Roman" w:cs="Times New Roman"/>
          <w:b/>
          <w:i/>
          <w:sz w:val="24"/>
          <w:szCs w:val="24"/>
          <w:lang w:val="en-US"/>
        </w:rPr>
        <w:t>Methods</w:t>
      </w:r>
      <w:r w:rsidR="0040367D" w:rsidRPr="005F6F9C">
        <w:rPr>
          <w:rFonts w:ascii="Times New Roman" w:hAnsi="Times New Roman" w:cs="Times New Roman"/>
          <w:i/>
          <w:sz w:val="24"/>
          <w:szCs w:val="24"/>
          <w:lang w:val="en-US"/>
        </w:rPr>
        <w:t>.</w:t>
      </w:r>
      <w:proofErr w:type="gramEnd"/>
      <w:r w:rsidR="0040367D" w:rsidRPr="005F6F9C">
        <w:rPr>
          <w:rFonts w:ascii="Times New Roman" w:hAnsi="Times New Roman" w:cs="Times New Roman"/>
          <w:i/>
          <w:sz w:val="24"/>
          <w:szCs w:val="24"/>
          <w:lang w:val="en-US"/>
        </w:rPr>
        <w:t xml:space="preserve"> In the period from November 2017 to February 2018, we interviewed mothers who have children in their second year of life who are registered at children's outpatient clinics in Syktyvkar. Respondents noted episodes of absent, infrequent or irregular breathing, blanching or cyanosis of the skin, changes in muscle tone (hypo- or hypertonia), </w:t>
      </w:r>
      <w:proofErr w:type="gramStart"/>
      <w:r w:rsidR="0040367D" w:rsidRPr="005F6F9C">
        <w:rPr>
          <w:rFonts w:ascii="Times New Roman" w:hAnsi="Times New Roman" w:cs="Times New Roman"/>
          <w:i/>
          <w:sz w:val="24"/>
          <w:szCs w:val="24"/>
          <w:lang w:val="en-US"/>
        </w:rPr>
        <w:t>changes</w:t>
      </w:r>
      <w:proofErr w:type="gramEnd"/>
      <w:r w:rsidR="0040367D" w:rsidRPr="005F6F9C">
        <w:rPr>
          <w:rFonts w:ascii="Times New Roman" w:hAnsi="Times New Roman" w:cs="Times New Roman"/>
          <w:i/>
          <w:sz w:val="24"/>
          <w:szCs w:val="24"/>
          <w:lang w:val="en-US"/>
        </w:rPr>
        <w:t xml:space="preserve"> in the level of responses that occurred in infancy. The prevalence of symptoms of life-threatening events was estimated based on the total number of children</w:t>
      </w:r>
      <w:r w:rsidR="00D74627">
        <w:rPr>
          <w:rFonts w:ascii="Times New Roman" w:hAnsi="Times New Roman" w:cs="Times New Roman"/>
          <w:i/>
          <w:sz w:val="24"/>
          <w:szCs w:val="24"/>
          <w:lang w:val="en-US"/>
        </w:rPr>
        <w:t xml:space="preserve"> in the first year of life (n</w:t>
      </w:r>
      <w:r w:rsidR="00D74627" w:rsidRPr="00D74627">
        <w:rPr>
          <w:rFonts w:ascii="Times New Roman" w:hAnsi="Times New Roman" w:cs="Times New Roman"/>
          <w:i/>
          <w:sz w:val="24"/>
          <w:szCs w:val="24"/>
          <w:lang w:val="en-US"/>
        </w:rPr>
        <w:t> </w:t>
      </w:r>
      <w:r w:rsidR="00D74627">
        <w:rPr>
          <w:rFonts w:ascii="Times New Roman" w:hAnsi="Times New Roman" w:cs="Times New Roman"/>
          <w:i/>
          <w:sz w:val="24"/>
          <w:szCs w:val="24"/>
          <w:lang w:val="en-US"/>
        </w:rPr>
        <w:t>=</w:t>
      </w:r>
      <w:r w:rsidR="00D74627" w:rsidRPr="00D74627">
        <w:rPr>
          <w:rFonts w:ascii="Times New Roman" w:hAnsi="Times New Roman" w:cs="Times New Roman"/>
          <w:i/>
          <w:sz w:val="24"/>
          <w:szCs w:val="24"/>
          <w:lang w:val="en-US"/>
        </w:rPr>
        <w:t> </w:t>
      </w:r>
      <w:r w:rsidR="0040367D" w:rsidRPr="005F6F9C">
        <w:rPr>
          <w:rFonts w:ascii="Times New Roman" w:hAnsi="Times New Roman" w:cs="Times New Roman"/>
          <w:i/>
          <w:sz w:val="24"/>
          <w:szCs w:val="24"/>
          <w:lang w:val="en-US"/>
        </w:rPr>
        <w:t xml:space="preserve">3088) who lived in Syktyvkar as of January 1, 2018. </w:t>
      </w:r>
      <w:proofErr w:type="gramStart"/>
      <w:r w:rsidR="0040367D" w:rsidRPr="005F6F9C">
        <w:rPr>
          <w:rFonts w:ascii="Times New Roman" w:hAnsi="Times New Roman" w:cs="Times New Roman"/>
          <w:b/>
          <w:i/>
          <w:sz w:val="24"/>
          <w:szCs w:val="24"/>
          <w:lang w:val="en-US"/>
        </w:rPr>
        <w:t>Results.</w:t>
      </w:r>
      <w:proofErr w:type="gramEnd"/>
      <w:r w:rsidR="0040367D" w:rsidRPr="005F6F9C">
        <w:rPr>
          <w:rFonts w:ascii="Times New Roman" w:hAnsi="Times New Roman" w:cs="Times New Roman"/>
          <w:i/>
          <w:sz w:val="24"/>
          <w:szCs w:val="24"/>
          <w:lang w:val="en-US"/>
        </w:rPr>
        <w:t xml:space="preserve"> At least one symptom of life-threatening events in infancy was reported by 43 (4.3%) of the 1001 mothers surveyed. The prevalence of symptoms was 429.5 [95% confidence interval (CI) 321–574] per 10,000 children of the corresponding age. Independent predictors of life-threatening events in children of the first year of life were sudden deaths of relatives under the age of 50 years [odds ratio (OR) 2.4; 95% CI 1.1–5.3], cases of pre-syncope or syncope in relatives (OR 4.4, 95% CI 2.1–9.0), artificial feeding of infants</w:t>
      </w:r>
      <w:r w:rsidR="00D74627">
        <w:rPr>
          <w:rFonts w:ascii="Times New Roman" w:hAnsi="Times New Roman" w:cs="Times New Roman"/>
          <w:i/>
          <w:sz w:val="24"/>
          <w:szCs w:val="24"/>
          <w:lang w:val="en-US"/>
        </w:rPr>
        <w:t xml:space="preserve"> (OR 4.0, 95% CI 1</w:t>
      </w:r>
      <w:r w:rsidR="00D74627" w:rsidRPr="00D74627">
        <w:rPr>
          <w:rFonts w:ascii="Times New Roman" w:hAnsi="Times New Roman" w:cs="Times New Roman"/>
          <w:i/>
          <w:sz w:val="24"/>
          <w:szCs w:val="24"/>
          <w:lang w:val="en-US"/>
        </w:rPr>
        <w:t>.</w:t>
      </w:r>
      <w:r w:rsidR="0040367D" w:rsidRPr="005F6F9C">
        <w:rPr>
          <w:rFonts w:ascii="Times New Roman" w:hAnsi="Times New Roman" w:cs="Times New Roman"/>
          <w:i/>
          <w:sz w:val="24"/>
          <w:szCs w:val="24"/>
          <w:lang w:val="en-US"/>
        </w:rPr>
        <w:t xml:space="preserve">5–11.2). The sensitivity of the model, which took into account the presence of at least one of the three predictors, was 19% (8/43), specificity </w:t>
      </w:r>
      <w:r w:rsidR="00D74627">
        <w:rPr>
          <w:rFonts w:ascii="Times New Roman" w:hAnsi="Times New Roman" w:cs="Times New Roman"/>
          <w:i/>
          <w:sz w:val="24"/>
          <w:szCs w:val="24"/>
          <w:lang w:val="en-US"/>
        </w:rPr>
        <w:t>—</w:t>
      </w:r>
      <w:r w:rsidR="0040367D" w:rsidRPr="005F6F9C">
        <w:rPr>
          <w:rFonts w:ascii="Times New Roman" w:hAnsi="Times New Roman" w:cs="Times New Roman"/>
          <w:i/>
          <w:sz w:val="24"/>
          <w:szCs w:val="24"/>
          <w:lang w:val="en-US"/>
        </w:rPr>
        <w:t xml:space="preserve"> 99% (2/958). </w:t>
      </w:r>
      <w:proofErr w:type="gramStart"/>
      <w:r w:rsidR="0040367D" w:rsidRPr="005F6F9C">
        <w:rPr>
          <w:rFonts w:ascii="Times New Roman" w:hAnsi="Times New Roman" w:cs="Times New Roman"/>
          <w:b/>
          <w:i/>
          <w:sz w:val="24"/>
          <w:szCs w:val="24"/>
          <w:lang w:val="en-US"/>
        </w:rPr>
        <w:t>Conclusion.</w:t>
      </w:r>
      <w:proofErr w:type="gramEnd"/>
      <w:r w:rsidR="0040367D" w:rsidRPr="005F6F9C">
        <w:rPr>
          <w:rFonts w:ascii="Times New Roman" w:hAnsi="Times New Roman" w:cs="Times New Roman"/>
          <w:i/>
          <w:sz w:val="24"/>
          <w:szCs w:val="24"/>
          <w:lang w:val="en-US"/>
        </w:rPr>
        <w:t xml:space="preserve"> The issue of the occurrence of life-threatening events in an infant can impact every 25th family. In every fifth infant, the occurrence of symptoms of life-threatening events can be predicted based on risk factors.</w:t>
      </w:r>
    </w:p>
    <w:p w14:paraId="59D6B311" w14:textId="77777777" w:rsidR="0040367D" w:rsidRPr="005F6F9C" w:rsidRDefault="0040367D" w:rsidP="0040367D">
      <w:pPr>
        <w:spacing w:after="0" w:line="240" w:lineRule="auto"/>
        <w:jc w:val="both"/>
        <w:rPr>
          <w:rFonts w:ascii="Times New Roman" w:hAnsi="Times New Roman" w:cs="Times New Roman"/>
          <w:i/>
          <w:sz w:val="24"/>
          <w:szCs w:val="24"/>
          <w:lang w:val="en-US"/>
        </w:rPr>
      </w:pPr>
      <w:r w:rsidRPr="005F6F9C">
        <w:rPr>
          <w:rFonts w:ascii="Times New Roman" w:hAnsi="Times New Roman" w:cs="Times New Roman"/>
          <w:b/>
          <w:i/>
          <w:sz w:val="24"/>
          <w:szCs w:val="24"/>
          <w:lang w:val="en-US"/>
        </w:rPr>
        <w:t>Key words:</w:t>
      </w:r>
      <w:r w:rsidRPr="005F6F9C">
        <w:rPr>
          <w:rFonts w:ascii="Times New Roman" w:hAnsi="Times New Roman" w:cs="Times New Roman"/>
          <w:i/>
          <w:sz w:val="24"/>
          <w:szCs w:val="24"/>
          <w:lang w:val="en-US"/>
        </w:rPr>
        <w:t xml:space="preserve"> infants, life-threatening events, apparent life-threatening event, brief resolved unexplained event, survey, risk factors, artificial feeding, sudden cardiac death, syncope, prognostic value.</w:t>
      </w:r>
    </w:p>
    <w:p w14:paraId="1CA0890A" w14:textId="4B4DCD3D" w:rsidR="0040367D" w:rsidRPr="007A7974" w:rsidRDefault="0040367D" w:rsidP="0040367D">
      <w:pPr>
        <w:spacing w:after="0" w:line="240" w:lineRule="auto"/>
        <w:jc w:val="both"/>
        <w:rPr>
          <w:rFonts w:ascii="Times New Roman" w:hAnsi="Times New Roman" w:cs="Times New Roman"/>
          <w:sz w:val="24"/>
          <w:szCs w:val="24"/>
          <w:lang w:val="en-US"/>
        </w:rPr>
      </w:pPr>
      <w:r w:rsidRPr="005F6F9C">
        <w:rPr>
          <w:rFonts w:ascii="Times New Roman" w:hAnsi="Times New Roman" w:cs="Times New Roman"/>
          <w:i/>
          <w:sz w:val="24"/>
          <w:szCs w:val="24"/>
          <w:lang w:val="en-US"/>
        </w:rPr>
        <w:t>(</w:t>
      </w:r>
      <w:r w:rsidRPr="005F6F9C">
        <w:rPr>
          <w:rFonts w:ascii="Times New Roman" w:hAnsi="Times New Roman" w:cs="Times New Roman"/>
          <w:b/>
          <w:i/>
          <w:sz w:val="24"/>
          <w:szCs w:val="24"/>
          <w:lang w:val="en-US"/>
        </w:rPr>
        <w:t>For citation</w:t>
      </w:r>
      <w:r w:rsidRPr="005F6F9C">
        <w:rPr>
          <w:rFonts w:ascii="Times New Roman" w:hAnsi="Times New Roman" w:cs="Times New Roman"/>
          <w:i/>
          <w:sz w:val="24"/>
          <w:szCs w:val="24"/>
          <w:lang w:val="en-US"/>
        </w:rPr>
        <w:t xml:space="preserve">: </w:t>
      </w:r>
      <w:proofErr w:type="spellStart"/>
      <w:r w:rsidRPr="005F6F9C">
        <w:rPr>
          <w:rFonts w:ascii="Times New Roman" w:hAnsi="Times New Roman" w:cs="Times New Roman"/>
          <w:sz w:val="24"/>
          <w:szCs w:val="24"/>
          <w:lang w:val="en-US"/>
        </w:rPr>
        <w:t>Korableva</w:t>
      </w:r>
      <w:proofErr w:type="spellEnd"/>
      <w:r w:rsidRPr="005F6F9C">
        <w:rPr>
          <w:rFonts w:ascii="Times New Roman" w:hAnsi="Times New Roman" w:cs="Times New Roman"/>
          <w:sz w:val="24"/>
          <w:szCs w:val="24"/>
          <w:lang w:val="en-US"/>
        </w:rPr>
        <w:t xml:space="preserve"> Natalya N., </w:t>
      </w:r>
      <w:proofErr w:type="spellStart"/>
      <w:r w:rsidRPr="005F6F9C">
        <w:rPr>
          <w:rFonts w:ascii="Times New Roman" w:hAnsi="Times New Roman" w:cs="Times New Roman"/>
          <w:sz w:val="24"/>
          <w:szCs w:val="24"/>
          <w:lang w:val="en-US"/>
        </w:rPr>
        <w:t>Pershina</w:t>
      </w:r>
      <w:proofErr w:type="spellEnd"/>
      <w:r w:rsidRPr="005F6F9C">
        <w:rPr>
          <w:rFonts w:ascii="Times New Roman" w:hAnsi="Times New Roman" w:cs="Times New Roman"/>
          <w:sz w:val="24"/>
          <w:szCs w:val="24"/>
          <w:lang w:val="en-US"/>
        </w:rPr>
        <w:t xml:space="preserve"> Ekaterina N., Gusev Vladimir A. </w:t>
      </w:r>
      <w:r w:rsidR="0028491B" w:rsidRPr="0028491B">
        <w:rPr>
          <w:rFonts w:ascii="Times New Roman" w:hAnsi="Times New Roman" w:cs="Times New Roman"/>
          <w:sz w:val="24"/>
          <w:szCs w:val="24"/>
          <w:lang w:val="en-US"/>
        </w:rPr>
        <w:t>The Prevalence of Symptoms of Life-Threatening Events in Children of the First Year of Life: a Cross-Sectional Population Study</w:t>
      </w:r>
      <w:r w:rsidRPr="005F6F9C">
        <w:rPr>
          <w:rFonts w:ascii="Times New Roman" w:hAnsi="Times New Roman" w:cs="Times New Roman"/>
          <w:sz w:val="24"/>
          <w:szCs w:val="24"/>
          <w:lang w:val="en-US"/>
        </w:rPr>
        <w:t xml:space="preserve">. </w:t>
      </w:r>
      <w:proofErr w:type="spellStart"/>
      <w:proofErr w:type="gramStart"/>
      <w:r w:rsidR="0028491B">
        <w:rPr>
          <w:rFonts w:ascii="Times New Roman" w:hAnsi="Times New Roman" w:cs="Times New Roman"/>
          <w:i/>
          <w:sz w:val="24"/>
          <w:szCs w:val="24"/>
          <w:lang w:val="en-US"/>
        </w:rPr>
        <w:t>Voprosy</w:t>
      </w:r>
      <w:proofErr w:type="spellEnd"/>
      <w:r w:rsidR="0028491B">
        <w:rPr>
          <w:rFonts w:ascii="Times New Roman" w:hAnsi="Times New Roman" w:cs="Times New Roman"/>
          <w:i/>
          <w:sz w:val="24"/>
          <w:szCs w:val="24"/>
          <w:lang w:val="en-US"/>
        </w:rPr>
        <w:t xml:space="preserve"> </w:t>
      </w:r>
      <w:proofErr w:type="spellStart"/>
      <w:r w:rsidR="0028491B">
        <w:rPr>
          <w:rFonts w:ascii="Times New Roman" w:hAnsi="Times New Roman" w:cs="Times New Roman"/>
          <w:i/>
          <w:sz w:val="24"/>
          <w:szCs w:val="24"/>
          <w:lang w:val="en-US"/>
        </w:rPr>
        <w:t>sovremennoi</w:t>
      </w:r>
      <w:proofErr w:type="spellEnd"/>
      <w:r w:rsidR="0028491B">
        <w:rPr>
          <w:rFonts w:ascii="Times New Roman" w:hAnsi="Times New Roman" w:cs="Times New Roman"/>
          <w:i/>
          <w:sz w:val="24"/>
          <w:szCs w:val="24"/>
          <w:lang w:val="en-US"/>
        </w:rPr>
        <w:t xml:space="preserve"> </w:t>
      </w:r>
      <w:proofErr w:type="spellStart"/>
      <w:r w:rsidR="0028491B">
        <w:rPr>
          <w:rFonts w:ascii="Times New Roman" w:hAnsi="Times New Roman" w:cs="Times New Roman"/>
          <w:i/>
          <w:sz w:val="24"/>
          <w:szCs w:val="24"/>
          <w:lang w:val="en-US"/>
        </w:rPr>
        <w:t>p</w:t>
      </w:r>
      <w:r w:rsidR="005F6F9C" w:rsidRPr="005F6F9C">
        <w:rPr>
          <w:rFonts w:ascii="Times New Roman" w:hAnsi="Times New Roman" w:cs="Times New Roman"/>
          <w:i/>
          <w:sz w:val="24"/>
          <w:szCs w:val="24"/>
          <w:lang w:val="en-US"/>
        </w:rPr>
        <w:t>ediatrii</w:t>
      </w:r>
      <w:proofErr w:type="spellEnd"/>
      <w:r w:rsidR="005F6F9C" w:rsidRPr="0028491B">
        <w:rPr>
          <w:rFonts w:ascii="Times New Roman" w:hAnsi="Times New Roman" w:cs="Times New Roman"/>
          <w:i/>
          <w:sz w:val="24"/>
          <w:szCs w:val="24"/>
          <w:lang w:val="en-US"/>
        </w:rPr>
        <w:t xml:space="preserve"> – </w:t>
      </w:r>
      <w:r w:rsidR="005F6F9C" w:rsidRPr="005F6F9C">
        <w:rPr>
          <w:rFonts w:ascii="Times New Roman" w:hAnsi="Times New Roman" w:cs="Times New Roman"/>
          <w:i/>
          <w:sz w:val="24"/>
          <w:szCs w:val="24"/>
          <w:lang w:val="en-US"/>
        </w:rPr>
        <w:t>Current Pediatrics</w:t>
      </w:r>
      <w:r w:rsidRPr="005F6F9C">
        <w:rPr>
          <w:rFonts w:ascii="Times New Roman" w:hAnsi="Times New Roman" w:cs="Times New Roman"/>
          <w:sz w:val="24"/>
          <w:szCs w:val="24"/>
          <w:lang w:val="en-US"/>
        </w:rPr>
        <w:t>.</w:t>
      </w:r>
      <w:proofErr w:type="gramEnd"/>
      <w:r w:rsidRPr="005F6F9C">
        <w:rPr>
          <w:rFonts w:ascii="Times New Roman" w:hAnsi="Times New Roman" w:cs="Times New Roman"/>
          <w:sz w:val="24"/>
          <w:szCs w:val="24"/>
          <w:lang w:val="en-US"/>
        </w:rPr>
        <w:t xml:space="preserve"> </w:t>
      </w:r>
      <w:proofErr w:type="gramStart"/>
      <w:r w:rsidR="00977F43" w:rsidRPr="00977F43">
        <w:rPr>
          <w:rFonts w:ascii="Times New Roman" w:hAnsi="Times New Roman" w:cs="Times New Roman"/>
          <w:sz w:val="24"/>
        </w:rPr>
        <w:t xml:space="preserve">2019; 18 (2): 109–117. </w:t>
      </w:r>
      <w:proofErr w:type="spellStart"/>
      <w:r w:rsidR="00977F43" w:rsidRPr="00977F43">
        <w:rPr>
          <w:rFonts w:ascii="Times New Roman" w:hAnsi="Times New Roman" w:cs="Times New Roman"/>
          <w:sz w:val="24"/>
        </w:rPr>
        <w:t>doi</w:t>
      </w:r>
      <w:proofErr w:type="spellEnd"/>
      <w:r w:rsidR="00977F43" w:rsidRPr="00977F43">
        <w:rPr>
          <w:rFonts w:ascii="Times New Roman" w:hAnsi="Times New Roman" w:cs="Times New Roman"/>
          <w:sz w:val="24"/>
        </w:rPr>
        <w:t>: 10.15690/vsp.v18i2.2013</w:t>
      </w:r>
      <w:r w:rsidR="00977F43" w:rsidRPr="00977F43">
        <w:rPr>
          <w:rFonts w:ascii="Times New Roman" w:hAnsi="Times New Roman" w:cs="Times New Roman"/>
          <w:sz w:val="24"/>
        </w:rPr>
        <w:t>)</w:t>
      </w:r>
      <w:proofErr w:type="gramEnd"/>
    </w:p>
    <w:p w14:paraId="0EBBEB76" w14:textId="3DEA8A7C" w:rsidR="00860917" w:rsidRPr="0040367D" w:rsidRDefault="00860917" w:rsidP="00BC2C6C">
      <w:pPr>
        <w:spacing w:after="0" w:line="240" w:lineRule="auto"/>
        <w:jc w:val="both"/>
        <w:rPr>
          <w:rFonts w:ascii="Times New Roman" w:hAnsi="Times New Roman" w:cs="Times New Roman"/>
          <w:sz w:val="24"/>
          <w:szCs w:val="24"/>
          <w:lang w:val="en-US"/>
        </w:rPr>
      </w:pPr>
    </w:p>
    <w:p w14:paraId="6B50E199" w14:textId="18EBA2FF" w:rsidR="00304702" w:rsidRDefault="00304702" w:rsidP="005F6F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RESULTS</w:t>
      </w:r>
    </w:p>
    <w:p w14:paraId="22D8C038" w14:textId="77777777" w:rsidR="00304702" w:rsidRPr="00304702" w:rsidRDefault="00304702" w:rsidP="005F6F9C">
      <w:pPr>
        <w:spacing w:after="0" w:line="240" w:lineRule="auto"/>
        <w:jc w:val="both"/>
        <w:rPr>
          <w:rFonts w:ascii="Times New Roman" w:hAnsi="Times New Roman" w:cs="Times New Roman"/>
          <w:sz w:val="24"/>
          <w:szCs w:val="24"/>
        </w:rPr>
      </w:pPr>
    </w:p>
    <w:p w14:paraId="0FC33548" w14:textId="32066DB3" w:rsidR="005F6F9C" w:rsidRPr="00AA7490" w:rsidRDefault="00304702" w:rsidP="005F6F9C">
      <w:pPr>
        <w:spacing w:after="0" w:line="240" w:lineRule="auto"/>
        <w:jc w:val="both"/>
        <w:rPr>
          <w:rFonts w:ascii="Times New Roman" w:hAnsi="Times New Roman" w:cs="Times New Roman"/>
          <w:sz w:val="24"/>
          <w:szCs w:val="24"/>
          <w:lang w:val="en-GB"/>
        </w:rPr>
      </w:pPr>
      <w:proofErr w:type="gramStart"/>
      <w:r>
        <w:rPr>
          <w:rFonts w:ascii="Times New Roman" w:hAnsi="Times New Roman" w:cs="Times New Roman"/>
          <w:b/>
          <w:sz w:val="24"/>
          <w:szCs w:val="24"/>
          <w:lang w:val="en-GB"/>
        </w:rPr>
        <w:t>Table</w:t>
      </w:r>
      <w:r>
        <w:rPr>
          <w:rFonts w:ascii="Times New Roman" w:hAnsi="Times New Roman" w:cs="Times New Roman"/>
          <w:b/>
          <w:sz w:val="24"/>
          <w:szCs w:val="24"/>
        </w:rPr>
        <w:t> </w:t>
      </w:r>
      <w:r w:rsidR="005F6F9C" w:rsidRPr="00AA7490">
        <w:rPr>
          <w:rFonts w:ascii="Times New Roman" w:hAnsi="Times New Roman" w:cs="Times New Roman"/>
          <w:b/>
          <w:sz w:val="24"/>
          <w:szCs w:val="24"/>
          <w:lang w:val="en-GB"/>
        </w:rPr>
        <w:t>1</w:t>
      </w:r>
      <w:r w:rsidR="005F6F9C" w:rsidRPr="00AA7490">
        <w:rPr>
          <w:rFonts w:ascii="Times New Roman" w:hAnsi="Times New Roman" w:cs="Times New Roman"/>
          <w:sz w:val="24"/>
          <w:szCs w:val="24"/>
          <w:lang w:val="en-GB"/>
        </w:rPr>
        <w:t>.</w:t>
      </w:r>
      <w:proofErr w:type="gramEnd"/>
      <w:r w:rsidR="005F6F9C" w:rsidRPr="00AA7490">
        <w:rPr>
          <w:rFonts w:ascii="Times New Roman" w:hAnsi="Times New Roman" w:cs="Times New Roman"/>
          <w:sz w:val="24"/>
          <w:szCs w:val="24"/>
          <w:lang w:val="en-GB"/>
        </w:rPr>
        <w:t xml:space="preserve"> Comparative analysis </w:t>
      </w:r>
      <w:r w:rsidR="005F6F9C">
        <w:rPr>
          <w:rFonts w:ascii="Times New Roman" w:hAnsi="Times New Roman" w:cs="Times New Roman"/>
          <w:sz w:val="24"/>
          <w:szCs w:val="24"/>
          <w:lang w:val="en-GB"/>
        </w:rPr>
        <w:t xml:space="preserve">of children groups with or without symptoms of </w:t>
      </w:r>
      <w:r w:rsidR="005F6F9C" w:rsidRPr="00131814">
        <w:rPr>
          <w:rFonts w:ascii="Times New Roman" w:hAnsi="Times New Roman" w:cs="Times New Roman"/>
          <w:sz w:val="24"/>
          <w:szCs w:val="24"/>
          <w:lang w:val="en-GB"/>
        </w:rPr>
        <w:t>life-threatening</w:t>
      </w:r>
      <w:r w:rsidR="005F6F9C">
        <w:rPr>
          <w:rFonts w:ascii="Times New Roman" w:hAnsi="Times New Roman" w:cs="Times New Roman"/>
          <w:sz w:val="24"/>
          <w:szCs w:val="24"/>
          <w:lang w:val="en-GB"/>
        </w:rPr>
        <w:t xml:space="preserve"> conditions</w:t>
      </w:r>
    </w:p>
    <w:tbl>
      <w:tblPr>
        <w:tblStyle w:val="a4"/>
        <w:tblW w:w="9606" w:type="dxa"/>
        <w:tblLayout w:type="fixed"/>
        <w:tblLook w:val="04A0" w:firstRow="1" w:lastRow="0" w:firstColumn="1" w:lastColumn="0" w:noHBand="0" w:noVBand="1"/>
      </w:tblPr>
      <w:tblGrid>
        <w:gridCol w:w="4077"/>
        <w:gridCol w:w="1417"/>
        <w:gridCol w:w="1702"/>
        <w:gridCol w:w="1653"/>
        <w:gridCol w:w="757"/>
      </w:tblGrid>
      <w:tr w:rsidR="005F6F9C" w:rsidRPr="002468C2" w14:paraId="21BF5EDA" w14:textId="77777777" w:rsidTr="00377796">
        <w:tc>
          <w:tcPr>
            <w:tcW w:w="4077" w:type="dxa"/>
          </w:tcPr>
          <w:p w14:paraId="4EDFB50A" w14:textId="77777777" w:rsidR="005F6F9C" w:rsidRPr="002468C2" w:rsidRDefault="005F6F9C" w:rsidP="00377796">
            <w:pPr>
              <w:jc w:val="center"/>
              <w:rPr>
                <w:rFonts w:ascii="Times New Roman" w:hAnsi="Times New Roman" w:cs="Times New Roman"/>
                <w:b/>
                <w:szCs w:val="24"/>
                <w:lang w:val="en-GB"/>
              </w:rPr>
            </w:pPr>
            <w:r w:rsidRPr="002468C2">
              <w:rPr>
                <w:rFonts w:ascii="Times New Roman" w:hAnsi="Times New Roman" w:cs="Times New Roman"/>
                <w:b/>
                <w:szCs w:val="24"/>
                <w:lang w:val="en-GB"/>
              </w:rPr>
              <w:t>Indicators</w:t>
            </w:r>
          </w:p>
        </w:tc>
        <w:tc>
          <w:tcPr>
            <w:tcW w:w="1417" w:type="dxa"/>
          </w:tcPr>
          <w:p w14:paraId="77312F13" w14:textId="77777777" w:rsidR="005F6F9C" w:rsidRPr="002468C2" w:rsidRDefault="005F6F9C" w:rsidP="00377796">
            <w:pPr>
              <w:jc w:val="center"/>
              <w:rPr>
                <w:rFonts w:ascii="Times New Roman" w:hAnsi="Times New Roman" w:cs="Times New Roman"/>
                <w:b/>
                <w:szCs w:val="24"/>
                <w:lang w:val="en-GB"/>
              </w:rPr>
            </w:pPr>
            <w:r w:rsidRPr="002468C2">
              <w:rPr>
                <w:rFonts w:ascii="Times New Roman" w:hAnsi="Times New Roman" w:cs="Times New Roman"/>
                <w:b/>
                <w:szCs w:val="24"/>
                <w:lang w:val="en-GB"/>
              </w:rPr>
              <w:t>Children with BRUE (</w:t>
            </w:r>
            <w:r w:rsidRPr="002468C2">
              <w:rPr>
                <w:rFonts w:ascii="Times New Roman" w:hAnsi="Times New Roman" w:cs="Times New Roman"/>
                <w:b/>
                <w:i/>
                <w:szCs w:val="24"/>
                <w:lang w:val="en-GB"/>
              </w:rPr>
              <w:t>n</w:t>
            </w:r>
            <w:r w:rsidRPr="002468C2">
              <w:rPr>
                <w:rFonts w:ascii="Times New Roman" w:hAnsi="Times New Roman" w:cs="Times New Roman"/>
                <w:b/>
                <w:szCs w:val="24"/>
                <w:lang w:val="en-GB"/>
              </w:rPr>
              <w:t> = 43)</w:t>
            </w:r>
          </w:p>
        </w:tc>
        <w:tc>
          <w:tcPr>
            <w:tcW w:w="1702" w:type="dxa"/>
          </w:tcPr>
          <w:p w14:paraId="34E7E211" w14:textId="77777777" w:rsidR="005F6F9C" w:rsidRPr="002468C2" w:rsidRDefault="005F6F9C" w:rsidP="00377796">
            <w:pPr>
              <w:jc w:val="center"/>
              <w:rPr>
                <w:rFonts w:ascii="Times New Roman" w:hAnsi="Times New Roman" w:cs="Times New Roman"/>
                <w:b/>
                <w:szCs w:val="24"/>
                <w:lang w:val="en-GB"/>
              </w:rPr>
            </w:pPr>
            <w:r w:rsidRPr="002468C2">
              <w:rPr>
                <w:rFonts w:ascii="Times New Roman" w:hAnsi="Times New Roman" w:cs="Times New Roman"/>
                <w:b/>
                <w:szCs w:val="24"/>
                <w:lang w:val="en-GB"/>
              </w:rPr>
              <w:t>Children without BRUE (</w:t>
            </w:r>
            <w:r w:rsidRPr="002468C2">
              <w:rPr>
                <w:rFonts w:ascii="Times New Roman" w:hAnsi="Times New Roman" w:cs="Times New Roman"/>
                <w:b/>
                <w:i/>
                <w:szCs w:val="24"/>
                <w:lang w:val="en-GB"/>
              </w:rPr>
              <w:t>n</w:t>
            </w:r>
            <w:r w:rsidRPr="002468C2">
              <w:rPr>
                <w:rFonts w:ascii="Times New Roman" w:hAnsi="Times New Roman" w:cs="Times New Roman"/>
                <w:b/>
                <w:szCs w:val="24"/>
                <w:lang w:val="en-GB"/>
              </w:rPr>
              <w:t> = 958)</w:t>
            </w:r>
          </w:p>
        </w:tc>
        <w:tc>
          <w:tcPr>
            <w:tcW w:w="1653" w:type="dxa"/>
          </w:tcPr>
          <w:p w14:paraId="3ED86AE3" w14:textId="77777777" w:rsidR="005F6F9C" w:rsidRPr="002468C2" w:rsidRDefault="005F6F9C" w:rsidP="00377796">
            <w:pPr>
              <w:jc w:val="center"/>
              <w:rPr>
                <w:rFonts w:ascii="Times New Roman" w:hAnsi="Times New Roman" w:cs="Times New Roman"/>
                <w:b/>
                <w:szCs w:val="24"/>
                <w:lang w:val="en-GB"/>
              </w:rPr>
            </w:pPr>
            <w:r w:rsidRPr="002468C2">
              <w:rPr>
                <w:rFonts w:ascii="Times New Roman" w:hAnsi="Times New Roman" w:cs="Times New Roman"/>
                <w:b/>
                <w:szCs w:val="24"/>
                <w:lang w:val="en-GB"/>
              </w:rPr>
              <w:t>OR (95% CI)</w:t>
            </w:r>
          </w:p>
        </w:tc>
        <w:tc>
          <w:tcPr>
            <w:tcW w:w="757" w:type="dxa"/>
          </w:tcPr>
          <w:p w14:paraId="0F894F99" w14:textId="77777777" w:rsidR="005F6F9C" w:rsidRPr="002468C2" w:rsidRDefault="005F6F9C" w:rsidP="00377796">
            <w:pPr>
              <w:jc w:val="center"/>
              <w:rPr>
                <w:rFonts w:ascii="Times New Roman" w:hAnsi="Times New Roman" w:cs="Times New Roman"/>
                <w:b/>
                <w:i/>
                <w:szCs w:val="24"/>
                <w:lang w:val="en-GB"/>
              </w:rPr>
            </w:pPr>
            <w:r w:rsidRPr="002468C2">
              <w:rPr>
                <w:rFonts w:ascii="Times New Roman" w:hAnsi="Times New Roman" w:cs="Times New Roman"/>
                <w:b/>
                <w:i/>
                <w:szCs w:val="24"/>
                <w:lang w:val="en-GB"/>
              </w:rPr>
              <w:t>р</w:t>
            </w:r>
          </w:p>
        </w:tc>
      </w:tr>
      <w:tr w:rsidR="005F6F9C" w:rsidRPr="00AA7490" w14:paraId="1FE92FE9" w14:textId="77777777" w:rsidTr="00377796">
        <w:tc>
          <w:tcPr>
            <w:tcW w:w="9606" w:type="dxa"/>
            <w:gridSpan w:val="5"/>
          </w:tcPr>
          <w:p w14:paraId="45A68280" w14:textId="77777777" w:rsidR="005F6F9C" w:rsidRPr="00AA7490" w:rsidRDefault="005F6F9C" w:rsidP="00377796">
            <w:pPr>
              <w:rPr>
                <w:rFonts w:ascii="Times New Roman" w:hAnsi="Times New Roman" w:cs="Times New Roman"/>
                <w:b/>
                <w:i/>
                <w:sz w:val="20"/>
                <w:szCs w:val="20"/>
                <w:lang w:val="en-GB"/>
              </w:rPr>
            </w:pPr>
            <w:r>
              <w:rPr>
                <w:rFonts w:ascii="Times New Roman" w:hAnsi="Times New Roman" w:cs="Times New Roman"/>
                <w:b/>
                <w:i/>
                <w:sz w:val="20"/>
                <w:szCs w:val="20"/>
                <w:lang w:val="en-GB"/>
              </w:rPr>
              <w:t>D</w:t>
            </w:r>
            <w:r w:rsidRPr="00082BA9">
              <w:rPr>
                <w:rFonts w:ascii="Times New Roman" w:hAnsi="Times New Roman" w:cs="Times New Roman"/>
                <w:b/>
                <w:i/>
                <w:sz w:val="20"/>
                <w:szCs w:val="20"/>
                <w:lang w:val="en-GB"/>
              </w:rPr>
              <w:t>emographic factor</w:t>
            </w:r>
            <w:r>
              <w:rPr>
                <w:rFonts w:ascii="Times New Roman" w:hAnsi="Times New Roman" w:cs="Times New Roman"/>
                <w:b/>
                <w:i/>
                <w:sz w:val="20"/>
                <w:szCs w:val="20"/>
                <w:lang w:val="en-GB"/>
              </w:rPr>
              <w:t>s</w:t>
            </w:r>
          </w:p>
        </w:tc>
      </w:tr>
      <w:tr w:rsidR="005F6F9C" w:rsidRPr="00AA7490" w14:paraId="54C38CBF" w14:textId="77777777" w:rsidTr="00377796">
        <w:tc>
          <w:tcPr>
            <w:tcW w:w="4077" w:type="dxa"/>
          </w:tcPr>
          <w:p w14:paraId="4FDFB51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Sex</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female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54331D1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33 (76,7)</w:t>
            </w:r>
          </w:p>
        </w:tc>
        <w:tc>
          <w:tcPr>
            <w:tcW w:w="1702" w:type="dxa"/>
          </w:tcPr>
          <w:p w14:paraId="47EF6D6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581 (60,6)</w:t>
            </w:r>
          </w:p>
        </w:tc>
        <w:tc>
          <w:tcPr>
            <w:tcW w:w="1653" w:type="dxa"/>
          </w:tcPr>
          <w:p w14:paraId="474583F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2,14 (1,05–4,39)</w:t>
            </w:r>
          </w:p>
        </w:tc>
        <w:tc>
          <w:tcPr>
            <w:tcW w:w="757" w:type="dxa"/>
          </w:tcPr>
          <w:p w14:paraId="50E3F890"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0,033</w:t>
            </w:r>
          </w:p>
        </w:tc>
      </w:tr>
      <w:tr w:rsidR="005F6F9C" w:rsidRPr="00AA7490" w14:paraId="43A5EE38" w14:textId="77777777" w:rsidTr="00377796">
        <w:trPr>
          <w:trHeight w:val="347"/>
        </w:trPr>
        <w:tc>
          <w:tcPr>
            <w:tcW w:w="4077" w:type="dxa"/>
          </w:tcPr>
          <w:p w14:paraId="6CFB4C75"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lastRenderedPageBreak/>
              <w:t>Mother’s age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years</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p w14:paraId="7FB112DF" w14:textId="77777777" w:rsidR="005F6F9C" w:rsidRPr="00AA7490" w:rsidRDefault="005F6F9C" w:rsidP="00377796">
            <w:pPr>
              <w:pStyle w:val="a8"/>
              <w:numPr>
                <w:ilvl w:val="0"/>
                <w:numId w:val="17"/>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18−25 </w:t>
            </w:r>
          </w:p>
          <w:p w14:paraId="472DE448" w14:textId="77777777" w:rsidR="005F6F9C" w:rsidRPr="00AA7490" w:rsidRDefault="005F6F9C" w:rsidP="00377796">
            <w:pPr>
              <w:pStyle w:val="a8"/>
              <w:numPr>
                <w:ilvl w:val="0"/>
                <w:numId w:val="17"/>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26−35 </w:t>
            </w:r>
          </w:p>
          <w:p w14:paraId="469B6DF4" w14:textId="77777777" w:rsidR="005F6F9C" w:rsidRPr="00AA7490" w:rsidRDefault="005F6F9C" w:rsidP="00377796">
            <w:pPr>
              <w:pStyle w:val="a8"/>
              <w:numPr>
                <w:ilvl w:val="0"/>
                <w:numId w:val="17"/>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&gt; 35 </w:t>
            </w:r>
          </w:p>
        </w:tc>
        <w:tc>
          <w:tcPr>
            <w:tcW w:w="1417" w:type="dxa"/>
          </w:tcPr>
          <w:p w14:paraId="53D614A3" w14:textId="77777777" w:rsidR="005F6F9C" w:rsidRPr="00AA7490" w:rsidRDefault="005F6F9C" w:rsidP="00377796">
            <w:pPr>
              <w:jc w:val="center"/>
              <w:rPr>
                <w:rFonts w:ascii="Times New Roman" w:hAnsi="Times New Roman" w:cs="Times New Roman"/>
                <w:sz w:val="20"/>
                <w:szCs w:val="20"/>
                <w:lang w:val="en-GB"/>
              </w:rPr>
            </w:pPr>
          </w:p>
          <w:p w14:paraId="56E299BD"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8 (18,6)</w:t>
            </w:r>
          </w:p>
          <w:p w14:paraId="4E30D06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24 (55,8)</w:t>
            </w:r>
          </w:p>
          <w:p w14:paraId="41B82370"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11 (25,6)</w:t>
            </w:r>
          </w:p>
        </w:tc>
        <w:tc>
          <w:tcPr>
            <w:tcW w:w="1702" w:type="dxa"/>
          </w:tcPr>
          <w:p w14:paraId="50344A9D" w14:textId="77777777" w:rsidR="005F6F9C" w:rsidRPr="00AA7490" w:rsidRDefault="005F6F9C" w:rsidP="00377796">
            <w:pPr>
              <w:jc w:val="center"/>
              <w:rPr>
                <w:rFonts w:ascii="Times New Roman" w:hAnsi="Times New Roman" w:cs="Times New Roman"/>
                <w:sz w:val="20"/>
                <w:szCs w:val="20"/>
                <w:lang w:val="en-GB"/>
              </w:rPr>
            </w:pPr>
          </w:p>
          <w:p w14:paraId="011F5B7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188 (19,6)</w:t>
            </w:r>
          </w:p>
          <w:p w14:paraId="2B0432A1"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600 (62,6)</w:t>
            </w:r>
          </w:p>
          <w:p w14:paraId="5B171AE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170 (17,8)</w:t>
            </w:r>
          </w:p>
        </w:tc>
        <w:tc>
          <w:tcPr>
            <w:tcW w:w="1653" w:type="dxa"/>
          </w:tcPr>
          <w:p w14:paraId="206F57FC" w14:textId="77777777" w:rsidR="005F6F9C" w:rsidRPr="00AA7490" w:rsidRDefault="005F6F9C" w:rsidP="00377796">
            <w:pPr>
              <w:jc w:val="center"/>
              <w:rPr>
                <w:rFonts w:ascii="Times New Roman" w:hAnsi="Times New Roman" w:cs="Times New Roman"/>
                <w:sz w:val="20"/>
                <w:szCs w:val="20"/>
                <w:lang w:val="en-GB"/>
              </w:rPr>
            </w:pPr>
          </w:p>
          <w:p w14:paraId="6A8F34C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0,94 (0,43–2,05)</w:t>
            </w:r>
          </w:p>
          <w:p w14:paraId="12E905D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0,75 (0,41–1,39)</w:t>
            </w:r>
          </w:p>
          <w:p w14:paraId="10920ED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1,54 (0,77–3,11)</w:t>
            </w:r>
          </w:p>
        </w:tc>
        <w:tc>
          <w:tcPr>
            <w:tcW w:w="757" w:type="dxa"/>
          </w:tcPr>
          <w:p w14:paraId="4E50A3CD" w14:textId="77777777" w:rsidR="005F6F9C" w:rsidRPr="00AA7490" w:rsidRDefault="005F6F9C" w:rsidP="00377796">
            <w:pPr>
              <w:jc w:val="center"/>
              <w:rPr>
                <w:rFonts w:ascii="Times New Roman" w:hAnsi="Times New Roman" w:cs="Times New Roman"/>
                <w:sz w:val="20"/>
                <w:szCs w:val="20"/>
                <w:lang w:val="en-GB"/>
              </w:rPr>
            </w:pPr>
          </w:p>
          <w:p w14:paraId="06A8CAD0"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0,869</w:t>
            </w:r>
          </w:p>
          <w:p w14:paraId="14795127"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0,366</w:t>
            </w:r>
          </w:p>
          <w:p w14:paraId="0D2AF281"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0,221</w:t>
            </w:r>
          </w:p>
        </w:tc>
      </w:tr>
      <w:tr w:rsidR="005F6F9C" w:rsidRPr="00AA7490" w14:paraId="3A7E13CB" w14:textId="77777777" w:rsidTr="00377796">
        <w:trPr>
          <w:trHeight w:val="274"/>
        </w:trPr>
        <w:tc>
          <w:tcPr>
            <w:tcW w:w="4077" w:type="dxa"/>
          </w:tcPr>
          <w:p w14:paraId="4FB0AC64"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Father’s age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years</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p w14:paraId="47D24E32" w14:textId="77777777" w:rsidR="005F6F9C" w:rsidRPr="00AA7490" w:rsidRDefault="005F6F9C" w:rsidP="00377796">
            <w:pPr>
              <w:pStyle w:val="a8"/>
              <w:numPr>
                <w:ilvl w:val="0"/>
                <w:numId w:val="11"/>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18−25 </w:t>
            </w:r>
          </w:p>
          <w:p w14:paraId="6A0EB425" w14:textId="77777777" w:rsidR="005F6F9C" w:rsidRPr="00AA7490" w:rsidRDefault="005F6F9C" w:rsidP="00377796">
            <w:pPr>
              <w:pStyle w:val="a8"/>
              <w:numPr>
                <w:ilvl w:val="0"/>
                <w:numId w:val="11"/>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26−35 </w:t>
            </w:r>
          </w:p>
          <w:p w14:paraId="5121E36E" w14:textId="77777777" w:rsidR="005F6F9C" w:rsidRPr="00AA7490" w:rsidRDefault="005F6F9C" w:rsidP="00377796">
            <w:pPr>
              <w:pStyle w:val="a8"/>
              <w:numPr>
                <w:ilvl w:val="0"/>
                <w:numId w:val="11"/>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&gt; 35 </w:t>
            </w:r>
          </w:p>
        </w:tc>
        <w:tc>
          <w:tcPr>
            <w:tcW w:w="1417" w:type="dxa"/>
          </w:tcPr>
          <w:p w14:paraId="1C1ED3B2" w14:textId="77777777" w:rsidR="005F6F9C" w:rsidRPr="00AA7490" w:rsidRDefault="005F6F9C" w:rsidP="00377796">
            <w:pPr>
              <w:jc w:val="center"/>
              <w:rPr>
                <w:rFonts w:ascii="Times New Roman" w:hAnsi="Times New Roman" w:cs="Times New Roman"/>
                <w:sz w:val="20"/>
                <w:szCs w:val="20"/>
                <w:lang w:val="en-GB"/>
              </w:rPr>
            </w:pPr>
          </w:p>
          <w:p w14:paraId="65AC1A3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5 (11,6)</w:t>
            </w:r>
          </w:p>
          <w:p w14:paraId="1677C0C6"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22 (51,2)</w:t>
            </w:r>
          </w:p>
          <w:p w14:paraId="0B2B364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16 (37,2)</w:t>
            </w:r>
          </w:p>
        </w:tc>
        <w:tc>
          <w:tcPr>
            <w:tcW w:w="1702" w:type="dxa"/>
          </w:tcPr>
          <w:p w14:paraId="13CD6303" w14:textId="77777777" w:rsidR="005F6F9C" w:rsidRPr="00AA7490" w:rsidRDefault="005F6F9C" w:rsidP="00377796">
            <w:pPr>
              <w:jc w:val="center"/>
              <w:rPr>
                <w:rFonts w:ascii="Times New Roman" w:hAnsi="Times New Roman" w:cs="Times New Roman"/>
                <w:sz w:val="20"/>
                <w:szCs w:val="20"/>
                <w:lang w:val="en-GB"/>
              </w:rPr>
            </w:pPr>
          </w:p>
          <w:p w14:paraId="495C262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98 (10,2)</w:t>
            </w:r>
          </w:p>
          <w:p w14:paraId="6F31A67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593 (61,9)</w:t>
            </w:r>
          </w:p>
          <w:p w14:paraId="5ECC6225"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267 (27,9)</w:t>
            </w:r>
          </w:p>
        </w:tc>
        <w:tc>
          <w:tcPr>
            <w:tcW w:w="1653" w:type="dxa"/>
          </w:tcPr>
          <w:p w14:paraId="61DE1EC0" w14:textId="77777777" w:rsidR="005F6F9C" w:rsidRPr="00AA7490" w:rsidRDefault="005F6F9C" w:rsidP="00377796">
            <w:pPr>
              <w:jc w:val="center"/>
              <w:rPr>
                <w:rFonts w:ascii="Times New Roman" w:hAnsi="Times New Roman" w:cs="Times New Roman"/>
                <w:sz w:val="20"/>
                <w:szCs w:val="20"/>
                <w:lang w:val="en-GB"/>
              </w:rPr>
            </w:pPr>
          </w:p>
          <w:p w14:paraId="214E888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1,15 (0,45–2,99)</w:t>
            </w:r>
          </w:p>
          <w:p w14:paraId="5CD7DE7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0,64 (0,35–1,19)</w:t>
            </w:r>
          </w:p>
          <w:p w14:paraId="607F0D2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1,53 (0,81–2,89)</w:t>
            </w:r>
          </w:p>
        </w:tc>
        <w:tc>
          <w:tcPr>
            <w:tcW w:w="757" w:type="dxa"/>
          </w:tcPr>
          <w:p w14:paraId="05290776" w14:textId="77777777" w:rsidR="005F6F9C" w:rsidRPr="00AA7490" w:rsidRDefault="005F6F9C" w:rsidP="00377796">
            <w:pPr>
              <w:jc w:val="center"/>
              <w:rPr>
                <w:rFonts w:ascii="Times New Roman" w:hAnsi="Times New Roman" w:cs="Times New Roman"/>
                <w:sz w:val="20"/>
                <w:szCs w:val="20"/>
                <w:lang w:val="en-GB"/>
              </w:rPr>
            </w:pPr>
          </w:p>
          <w:p w14:paraId="120FEF5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0,767</w:t>
            </w:r>
          </w:p>
          <w:p w14:paraId="085EB727"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0,157</w:t>
            </w:r>
          </w:p>
          <w:p w14:paraId="34A50A0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0,183</w:t>
            </w:r>
          </w:p>
        </w:tc>
      </w:tr>
      <w:tr w:rsidR="005F6F9C" w:rsidRPr="00AA7490" w14:paraId="15005DF3" w14:textId="77777777" w:rsidTr="00377796">
        <w:tc>
          <w:tcPr>
            <w:tcW w:w="9606" w:type="dxa"/>
            <w:gridSpan w:val="5"/>
          </w:tcPr>
          <w:p w14:paraId="11CA3282" w14:textId="77777777" w:rsidR="005F6F9C" w:rsidRPr="00AA7490" w:rsidRDefault="005F6F9C" w:rsidP="00377796">
            <w:pPr>
              <w:rPr>
                <w:rFonts w:ascii="Times New Roman" w:hAnsi="Times New Roman" w:cs="Times New Roman"/>
                <w:b/>
                <w:i/>
                <w:sz w:val="20"/>
                <w:szCs w:val="20"/>
                <w:lang w:val="en-GB"/>
              </w:rPr>
            </w:pPr>
            <w:r>
              <w:rPr>
                <w:rFonts w:ascii="Times New Roman" w:hAnsi="Times New Roman" w:cs="Times New Roman"/>
                <w:b/>
                <w:i/>
                <w:sz w:val="20"/>
                <w:szCs w:val="20"/>
                <w:lang w:val="en-GB"/>
              </w:rPr>
              <w:t>Social factors</w:t>
            </w:r>
          </w:p>
        </w:tc>
      </w:tr>
      <w:tr w:rsidR="005F6F9C" w:rsidRPr="00AA7490" w14:paraId="2E215C82" w14:textId="77777777" w:rsidTr="00377796">
        <w:tc>
          <w:tcPr>
            <w:tcW w:w="4077" w:type="dxa"/>
          </w:tcPr>
          <w:p w14:paraId="4A20FA02"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S</w:t>
            </w:r>
            <w:r w:rsidRPr="00082BA9">
              <w:rPr>
                <w:rFonts w:ascii="Times New Roman" w:hAnsi="Times New Roman" w:cs="Times New Roman"/>
                <w:sz w:val="20"/>
                <w:szCs w:val="20"/>
                <w:lang w:val="en-GB"/>
              </w:rPr>
              <w:t>tatutory marriage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6E240A8C"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38 (88,4)</w:t>
            </w:r>
          </w:p>
        </w:tc>
        <w:tc>
          <w:tcPr>
            <w:tcW w:w="1702" w:type="dxa"/>
          </w:tcPr>
          <w:p w14:paraId="77B5854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712 (74,3)</w:t>
            </w:r>
          </w:p>
        </w:tc>
        <w:tc>
          <w:tcPr>
            <w:tcW w:w="1653" w:type="dxa"/>
          </w:tcPr>
          <w:p w14:paraId="09C8097C"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2,62 (1,02–6,73)</w:t>
            </w:r>
          </w:p>
        </w:tc>
        <w:tc>
          <w:tcPr>
            <w:tcW w:w="757" w:type="dxa"/>
          </w:tcPr>
          <w:p w14:paraId="5A208F2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0,037</w:t>
            </w:r>
          </w:p>
        </w:tc>
      </w:tr>
      <w:tr w:rsidR="005F6F9C" w:rsidRPr="00AA7490" w14:paraId="76A0FFB4" w14:textId="77777777" w:rsidTr="00377796">
        <w:tc>
          <w:tcPr>
            <w:tcW w:w="4077" w:type="dxa"/>
          </w:tcPr>
          <w:p w14:paraId="50E6B2AE"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 xml:space="preserve">Mother’s </w:t>
            </w:r>
            <w:r w:rsidRPr="00082BA9">
              <w:rPr>
                <w:rFonts w:ascii="Times New Roman" w:hAnsi="Times New Roman" w:cs="Times New Roman"/>
                <w:sz w:val="20"/>
                <w:szCs w:val="20"/>
                <w:lang w:val="en-GB"/>
              </w:rPr>
              <w:t>higher education</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3D6193A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27 (62,8)</w:t>
            </w:r>
          </w:p>
        </w:tc>
        <w:tc>
          <w:tcPr>
            <w:tcW w:w="1702" w:type="dxa"/>
          </w:tcPr>
          <w:p w14:paraId="636B4536"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518 (54,1)</w:t>
            </w:r>
          </w:p>
        </w:tc>
        <w:tc>
          <w:tcPr>
            <w:tcW w:w="1653" w:type="dxa"/>
          </w:tcPr>
          <w:p w14:paraId="254B2201"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1,43 (0,76–2,69)</w:t>
            </w:r>
          </w:p>
        </w:tc>
        <w:tc>
          <w:tcPr>
            <w:tcW w:w="757" w:type="dxa"/>
          </w:tcPr>
          <w:p w14:paraId="4E643DB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0,261</w:t>
            </w:r>
          </w:p>
        </w:tc>
      </w:tr>
      <w:tr w:rsidR="005F6F9C" w:rsidRPr="00AA7490" w14:paraId="495DC843" w14:textId="77777777" w:rsidTr="00377796">
        <w:tc>
          <w:tcPr>
            <w:tcW w:w="4077" w:type="dxa"/>
          </w:tcPr>
          <w:p w14:paraId="197E9541"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 xml:space="preserve">Father’s </w:t>
            </w:r>
            <w:r w:rsidRPr="00082BA9">
              <w:rPr>
                <w:rFonts w:ascii="Times New Roman" w:hAnsi="Times New Roman" w:cs="Times New Roman"/>
                <w:sz w:val="20"/>
                <w:szCs w:val="20"/>
                <w:lang w:val="en-GB"/>
              </w:rPr>
              <w:t>higher education</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283091A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10 (23,3)</w:t>
            </w:r>
          </w:p>
        </w:tc>
        <w:tc>
          <w:tcPr>
            <w:tcW w:w="1702" w:type="dxa"/>
          </w:tcPr>
          <w:p w14:paraId="6A500ECD"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394 (41,1)</w:t>
            </w:r>
          </w:p>
        </w:tc>
        <w:tc>
          <w:tcPr>
            <w:tcW w:w="1653" w:type="dxa"/>
          </w:tcPr>
          <w:p w14:paraId="1C54C097"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0,43 (0,21–0,89)</w:t>
            </w:r>
          </w:p>
        </w:tc>
        <w:tc>
          <w:tcPr>
            <w:tcW w:w="757" w:type="dxa"/>
          </w:tcPr>
          <w:p w14:paraId="7A6D2CD4"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0,019</w:t>
            </w:r>
          </w:p>
        </w:tc>
      </w:tr>
      <w:tr w:rsidR="005F6F9C" w:rsidRPr="00AA7490" w14:paraId="6AD6E896" w14:textId="77777777" w:rsidTr="00377796">
        <w:trPr>
          <w:trHeight w:val="275"/>
        </w:trPr>
        <w:tc>
          <w:tcPr>
            <w:tcW w:w="4077" w:type="dxa"/>
          </w:tcPr>
          <w:p w14:paraId="2DD886EF"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F</w:t>
            </w:r>
            <w:r w:rsidRPr="00082BA9">
              <w:rPr>
                <w:rFonts w:ascii="Times New Roman" w:hAnsi="Times New Roman" w:cs="Times New Roman"/>
                <w:sz w:val="20"/>
                <w:szCs w:val="20"/>
                <w:lang w:val="en-GB"/>
              </w:rPr>
              <w:t>amily income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RUB</w:t>
            </w:r>
            <w:r w:rsidRPr="00082BA9">
              <w:rPr>
                <w:rFonts w:ascii="Times New Roman" w:hAnsi="Times New Roman" w:cs="Times New Roman"/>
                <w:sz w:val="20"/>
                <w:szCs w:val="20"/>
                <w:lang w:val="en-GB"/>
              </w:rPr>
              <w:t xml:space="preserve"> in thousands</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mo</w:t>
            </w:r>
            <w:proofErr w:type="spellEnd"/>
            <w:r>
              <w:rPr>
                <w:rFonts w:ascii="Times New Roman" w:hAnsi="Times New Roman" w:cs="Times New Roman"/>
                <w:sz w:val="20"/>
                <w:szCs w:val="20"/>
                <w:lang w:val="en-GB"/>
              </w:rPr>
              <w:t>; abs</w:t>
            </w:r>
            <w:r w:rsidRPr="00AA7490">
              <w:rPr>
                <w:rFonts w:ascii="Times New Roman" w:hAnsi="Times New Roman" w:cs="Times New Roman"/>
                <w:sz w:val="20"/>
                <w:szCs w:val="20"/>
                <w:lang w:val="en-GB"/>
              </w:rPr>
              <w:t xml:space="preserve"> (%)</w:t>
            </w:r>
          </w:p>
          <w:p w14:paraId="66BD5B6F" w14:textId="77777777" w:rsidR="005F6F9C" w:rsidRPr="00AA7490" w:rsidRDefault="005F6F9C" w:rsidP="00377796">
            <w:pPr>
              <w:pStyle w:val="a8"/>
              <w:numPr>
                <w:ilvl w:val="0"/>
                <w:numId w:val="13"/>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&lt; 24 </w:t>
            </w:r>
          </w:p>
          <w:p w14:paraId="09699EA6" w14:textId="77777777" w:rsidR="005F6F9C" w:rsidRPr="00AA7490" w:rsidRDefault="005F6F9C" w:rsidP="00377796">
            <w:pPr>
              <w:pStyle w:val="a8"/>
              <w:numPr>
                <w:ilvl w:val="0"/>
                <w:numId w:val="13"/>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24−49 </w:t>
            </w:r>
          </w:p>
          <w:p w14:paraId="33F7FA4E" w14:textId="77777777" w:rsidR="005F6F9C" w:rsidRPr="00AA7490" w:rsidRDefault="005F6F9C" w:rsidP="00377796">
            <w:pPr>
              <w:pStyle w:val="a8"/>
              <w:numPr>
                <w:ilvl w:val="0"/>
                <w:numId w:val="13"/>
              </w:num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&gt; 50 </w:t>
            </w:r>
          </w:p>
        </w:tc>
        <w:tc>
          <w:tcPr>
            <w:tcW w:w="1417" w:type="dxa"/>
          </w:tcPr>
          <w:p w14:paraId="4B4A5E6C" w14:textId="77777777" w:rsidR="005F6F9C" w:rsidRPr="00AA7490" w:rsidRDefault="005F6F9C" w:rsidP="00377796">
            <w:pPr>
              <w:jc w:val="center"/>
              <w:rPr>
                <w:rFonts w:ascii="Times New Roman" w:hAnsi="Times New Roman" w:cs="Times New Roman"/>
                <w:sz w:val="20"/>
                <w:szCs w:val="20"/>
                <w:lang w:val="en-GB"/>
              </w:rPr>
            </w:pPr>
          </w:p>
          <w:p w14:paraId="7F15382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6 (14,0)</w:t>
            </w:r>
          </w:p>
          <w:p w14:paraId="6C178DEC"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20 (46,5)</w:t>
            </w:r>
          </w:p>
          <w:p w14:paraId="5EAC96A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17 (39,5)</w:t>
            </w:r>
          </w:p>
        </w:tc>
        <w:tc>
          <w:tcPr>
            <w:tcW w:w="1702" w:type="dxa"/>
          </w:tcPr>
          <w:p w14:paraId="1E1BC774" w14:textId="77777777" w:rsidR="005F6F9C" w:rsidRPr="00AA7490" w:rsidRDefault="005F6F9C" w:rsidP="00377796">
            <w:pPr>
              <w:jc w:val="center"/>
              <w:rPr>
                <w:rFonts w:ascii="Times New Roman" w:hAnsi="Times New Roman" w:cs="Times New Roman"/>
                <w:sz w:val="20"/>
                <w:szCs w:val="20"/>
                <w:lang w:val="en-GB"/>
              </w:rPr>
            </w:pPr>
          </w:p>
          <w:p w14:paraId="2ABF779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194 (20,3)</w:t>
            </w:r>
          </w:p>
          <w:p w14:paraId="0E5CD75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420 (43,8)</w:t>
            </w:r>
          </w:p>
          <w:p w14:paraId="1ABF0B5D"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344 (35,9)</w:t>
            </w:r>
          </w:p>
        </w:tc>
        <w:tc>
          <w:tcPr>
            <w:tcW w:w="1653" w:type="dxa"/>
          </w:tcPr>
          <w:p w14:paraId="2E23BCF0" w14:textId="77777777" w:rsidR="005F6F9C" w:rsidRPr="00AA7490" w:rsidRDefault="005F6F9C" w:rsidP="00377796">
            <w:pPr>
              <w:jc w:val="center"/>
              <w:rPr>
                <w:rFonts w:ascii="Times New Roman" w:hAnsi="Times New Roman" w:cs="Times New Roman"/>
                <w:sz w:val="20"/>
                <w:szCs w:val="20"/>
                <w:lang w:val="en-GB"/>
              </w:rPr>
            </w:pPr>
          </w:p>
          <w:p w14:paraId="2C1407F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0,64 (0,27–1,53)</w:t>
            </w:r>
          </w:p>
          <w:p w14:paraId="1782AB8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1,12 (0,64–1,94)</w:t>
            </w:r>
          </w:p>
          <w:p w14:paraId="0AFC471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1,17 (0,63–2,18)</w:t>
            </w:r>
          </w:p>
        </w:tc>
        <w:tc>
          <w:tcPr>
            <w:tcW w:w="757" w:type="dxa"/>
          </w:tcPr>
          <w:p w14:paraId="0B403BC3" w14:textId="77777777" w:rsidR="005F6F9C" w:rsidRPr="00AA7490" w:rsidRDefault="005F6F9C" w:rsidP="00377796">
            <w:pPr>
              <w:jc w:val="center"/>
              <w:rPr>
                <w:rFonts w:ascii="Times New Roman" w:hAnsi="Times New Roman" w:cs="Times New Roman"/>
                <w:sz w:val="20"/>
                <w:szCs w:val="20"/>
                <w:lang w:val="en-GB"/>
              </w:rPr>
            </w:pPr>
          </w:p>
          <w:p w14:paraId="3A416BBA"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0,312</w:t>
            </w:r>
          </w:p>
          <w:p w14:paraId="7ACE87C6"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0,729</w:t>
            </w:r>
          </w:p>
          <w:p w14:paraId="603BA286"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0,628</w:t>
            </w:r>
          </w:p>
        </w:tc>
      </w:tr>
      <w:tr w:rsidR="005F6F9C" w:rsidRPr="00AA7490" w14:paraId="5C763781" w14:textId="77777777" w:rsidTr="00377796">
        <w:tc>
          <w:tcPr>
            <w:tcW w:w="9606" w:type="dxa"/>
            <w:gridSpan w:val="5"/>
          </w:tcPr>
          <w:p w14:paraId="51A5B0A3" w14:textId="77777777" w:rsidR="005F6F9C" w:rsidRPr="00AA7490" w:rsidRDefault="005F6F9C" w:rsidP="00377796">
            <w:pPr>
              <w:rPr>
                <w:rFonts w:ascii="Times New Roman" w:hAnsi="Times New Roman" w:cs="Times New Roman"/>
                <w:b/>
                <w:i/>
                <w:sz w:val="20"/>
                <w:szCs w:val="20"/>
                <w:lang w:val="en-GB"/>
              </w:rPr>
            </w:pPr>
            <w:r>
              <w:rPr>
                <w:rFonts w:ascii="Times New Roman" w:hAnsi="Times New Roman" w:cs="Times New Roman"/>
                <w:b/>
                <w:i/>
                <w:sz w:val="20"/>
                <w:szCs w:val="20"/>
                <w:lang w:val="en-GB"/>
              </w:rPr>
              <w:t>H</w:t>
            </w:r>
            <w:r w:rsidRPr="0057040E">
              <w:rPr>
                <w:rFonts w:ascii="Times New Roman" w:hAnsi="Times New Roman" w:cs="Times New Roman"/>
                <w:b/>
                <w:i/>
                <w:sz w:val="20"/>
                <w:szCs w:val="20"/>
                <w:lang w:val="en-GB"/>
              </w:rPr>
              <w:t>ereditary background</w:t>
            </w:r>
          </w:p>
        </w:tc>
      </w:tr>
      <w:tr w:rsidR="005F6F9C" w:rsidRPr="00AA7490" w14:paraId="4B3672A5" w14:textId="77777777" w:rsidTr="00377796">
        <w:trPr>
          <w:trHeight w:val="803"/>
        </w:trPr>
        <w:tc>
          <w:tcPr>
            <w:tcW w:w="4077" w:type="dxa"/>
          </w:tcPr>
          <w:p w14:paraId="3E3C24FB"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B</w:t>
            </w:r>
            <w:r w:rsidRPr="0057040E">
              <w:rPr>
                <w:rFonts w:ascii="Times New Roman" w:hAnsi="Times New Roman" w:cs="Times New Roman"/>
                <w:sz w:val="20"/>
                <w:szCs w:val="20"/>
                <w:lang w:val="en-GB"/>
              </w:rPr>
              <w:t>urdened familial history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p w14:paraId="24639836" w14:textId="77777777" w:rsidR="005F6F9C" w:rsidRPr="00AA7490" w:rsidRDefault="005F6F9C" w:rsidP="00377796">
            <w:pPr>
              <w:pStyle w:val="a8"/>
              <w:numPr>
                <w:ilvl w:val="0"/>
                <w:numId w:val="12"/>
              </w:numPr>
              <w:rPr>
                <w:rFonts w:ascii="Times New Roman" w:hAnsi="Times New Roman" w:cs="Times New Roman"/>
                <w:sz w:val="20"/>
                <w:szCs w:val="20"/>
                <w:lang w:val="en-GB"/>
              </w:rPr>
            </w:pPr>
            <w:r w:rsidRPr="0057040E">
              <w:rPr>
                <w:rFonts w:ascii="Times New Roman" w:hAnsi="Times New Roman" w:cs="Times New Roman"/>
                <w:sz w:val="20"/>
                <w:szCs w:val="20"/>
                <w:lang w:val="en-GB"/>
              </w:rPr>
              <w:t xml:space="preserve">sudden death </w:t>
            </w:r>
            <w:r w:rsidRPr="00AA7490">
              <w:rPr>
                <w:rFonts w:ascii="Times New Roman" w:hAnsi="Times New Roman" w:cs="Times New Roman"/>
                <w:sz w:val="20"/>
                <w:szCs w:val="20"/>
                <w:lang w:val="en-GB"/>
              </w:rPr>
              <w:t xml:space="preserve">&lt; 50 </w:t>
            </w:r>
            <w:r>
              <w:rPr>
                <w:rFonts w:ascii="Times New Roman" w:hAnsi="Times New Roman" w:cs="Times New Roman"/>
                <w:sz w:val="20"/>
                <w:szCs w:val="20"/>
                <w:lang w:val="en-GB"/>
              </w:rPr>
              <w:t>years</w:t>
            </w:r>
          </w:p>
          <w:p w14:paraId="1BD32018" w14:textId="77777777" w:rsidR="005F6F9C" w:rsidRPr="00AA7490" w:rsidRDefault="005F6F9C" w:rsidP="00377796">
            <w:pPr>
              <w:pStyle w:val="a8"/>
              <w:numPr>
                <w:ilvl w:val="0"/>
                <w:numId w:val="12"/>
              </w:numPr>
              <w:rPr>
                <w:rFonts w:ascii="Times New Roman" w:hAnsi="Times New Roman" w:cs="Times New Roman"/>
                <w:sz w:val="20"/>
                <w:szCs w:val="20"/>
                <w:lang w:val="en-GB"/>
              </w:rPr>
            </w:pPr>
            <w:r>
              <w:rPr>
                <w:rFonts w:ascii="Times New Roman" w:hAnsi="Times New Roman" w:cs="Times New Roman"/>
                <w:sz w:val="20"/>
                <w:szCs w:val="20"/>
                <w:lang w:val="en-GB"/>
              </w:rPr>
              <w:t>death by heart disease</w:t>
            </w:r>
            <w:r w:rsidRPr="00AA7490">
              <w:rPr>
                <w:rFonts w:ascii="Times New Roman" w:hAnsi="Times New Roman" w:cs="Times New Roman"/>
                <w:sz w:val="20"/>
                <w:szCs w:val="20"/>
                <w:lang w:val="en-GB"/>
              </w:rPr>
              <w:t xml:space="preserve"> &lt; 50 </w:t>
            </w:r>
            <w:r>
              <w:rPr>
                <w:rFonts w:ascii="Times New Roman" w:hAnsi="Times New Roman" w:cs="Times New Roman"/>
                <w:sz w:val="20"/>
                <w:szCs w:val="20"/>
                <w:lang w:val="en-GB"/>
              </w:rPr>
              <w:t>years</w:t>
            </w:r>
          </w:p>
          <w:p w14:paraId="0D82EF58" w14:textId="77777777" w:rsidR="005F6F9C" w:rsidRPr="00AA7490" w:rsidRDefault="005F6F9C" w:rsidP="00377796">
            <w:pPr>
              <w:pStyle w:val="a8"/>
              <w:numPr>
                <w:ilvl w:val="0"/>
                <w:numId w:val="12"/>
              </w:numPr>
              <w:rPr>
                <w:rFonts w:ascii="Times New Roman" w:hAnsi="Times New Roman" w:cs="Times New Roman"/>
                <w:sz w:val="20"/>
                <w:szCs w:val="20"/>
                <w:lang w:val="en-GB"/>
              </w:rPr>
            </w:pPr>
            <w:r w:rsidRPr="0057040E">
              <w:rPr>
                <w:rFonts w:ascii="Times New Roman" w:hAnsi="Times New Roman" w:cs="Times New Roman"/>
                <w:sz w:val="20"/>
                <w:szCs w:val="20"/>
                <w:lang w:val="en-GB"/>
              </w:rPr>
              <w:t>syncope</w:t>
            </w:r>
            <w:r w:rsidRPr="00AA7490">
              <w:rPr>
                <w:rFonts w:ascii="Times New Roman" w:hAnsi="Times New Roman" w:cs="Times New Roman"/>
                <w:sz w:val="20"/>
                <w:szCs w:val="20"/>
                <w:lang w:val="en-GB"/>
              </w:rPr>
              <w:t>/</w:t>
            </w:r>
            <w:proofErr w:type="spellStart"/>
            <w:r w:rsidRPr="000A776A">
              <w:rPr>
                <w:rFonts w:ascii="Times New Roman" w:hAnsi="Times New Roman" w:cs="Times New Roman"/>
                <w:sz w:val="20"/>
                <w:szCs w:val="20"/>
                <w:lang w:val="en-GB"/>
              </w:rPr>
              <w:t>presyncope</w:t>
            </w:r>
            <w:proofErr w:type="spellEnd"/>
          </w:p>
        </w:tc>
        <w:tc>
          <w:tcPr>
            <w:tcW w:w="1417" w:type="dxa"/>
          </w:tcPr>
          <w:p w14:paraId="7324C667" w14:textId="77777777" w:rsidR="005F6F9C" w:rsidRPr="00AA7490" w:rsidRDefault="005F6F9C" w:rsidP="00377796">
            <w:pPr>
              <w:jc w:val="center"/>
              <w:rPr>
                <w:rFonts w:ascii="Times New Roman" w:hAnsi="Times New Roman" w:cs="Times New Roman"/>
                <w:sz w:val="20"/>
                <w:szCs w:val="20"/>
                <w:lang w:val="en-GB"/>
              </w:rPr>
            </w:pPr>
          </w:p>
          <w:p w14:paraId="64DC498A"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13 (30,2)</w:t>
            </w:r>
          </w:p>
          <w:p w14:paraId="71FE112A"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7 (16,3)</w:t>
            </w:r>
          </w:p>
          <w:p w14:paraId="3AE576E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28 (65,1)</w:t>
            </w:r>
          </w:p>
        </w:tc>
        <w:tc>
          <w:tcPr>
            <w:tcW w:w="1702" w:type="dxa"/>
          </w:tcPr>
          <w:p w14:paraId="100EBB42" w14:textId="77777777" w:rsidR="005F6F9C" w:rsidRPr="00AA7490" w:rsidRDefault="005F6F9C" w:rsidP="00377796">
            <w:pPr>
              <w:jc w:val="center"/>
              <w:rPr>
                <w:rFonts w:ascii="Times New Roman" w:hAnsi="Times New Roman" w:cs="Times New Roman"/>
                <w:sz w:val="20"/>
                <w:szCs w:val="20"/>
                <w:lang w:val="en-GB"/>
              </w:rPr>
            </w:pPr>
          </w:p>
          <w:p w14:paraId="20328FD2"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124 (12,9)</w:t>
            </w:r>
          </w:p>
          <w:p w14:paraId="4EC431A5"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163 (17,0)</w:t>
            </w:r>
          </w:p>
          <w:p w14:paraId="57B1764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248 (25,9)</w:t>
            </w:r>
          </w:p>
        </w:tc>
        <w:tc>
          <w:tcPr>
            <w:tcW w:w="1653" w:type="dxa"/>
          </w:tcPr>
          <w:p w14:paraId="4E13A536" w14:textId="77777777" w:rsidR="005F6F9C" w:rsidRPr="00AA7490" w:rsidRDefault="005F6F9C" w:rsidP="00377796">
            <w:pPr>
              <w:rPr>
                <w:rFonts w:ascii="Times New Roman" w:hAnsi="Times New Roman" w:cs="Times New Roman"/>
                <w:sz w:val="20"/>
                <w:szCs w:val="20"/>
                <w:lang w:val="en-GB"/>
              </w:rPr>
            </w:pPr>
          </w:p>
          <w:p w14:paraId="62B5E886"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2,92 (1,42–6,01)</w:t>
            </w:r>
          </w:p>
          <w:p w14:paraId="77A649B3"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0,95 (0,45–2,0)</w:t>
            </w:r>
          </w:p>
          <w:p w14:paraId="41663CE2"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5,34 (2,91–9,78)</w:t>
            </w:r>
          </w:p>
        </w:tc>
        <w:tc>
          <w:tcPr>
            <w:tcW w:w="757" w:type="dxa"/>
          </w:tcPr>
          <w:p w14:paraId="0A3A7050" w14:textId="77777777" w:rsidR="005F6F9C" w:rsidRPr="00AA7490" w:rsidRDefault="005F6F9C" w:rsidP="00377796">
            <w:pPr>
              <w:jc w:val="center"/>
              <w:rPr>
                <w:rFonts w:ascii="Times New Roman" w:hAnsi="Times New Roman" w:cs="Times New Roman"/>
                <w:sz w:val="20"/>
                <w:szCs w:val="20"/>
                <w:lang w:val="en-GB"/>
              </w:rPr>
            </w:pPr>
          </w:p>
          <w:p w14:paraId="7EF3681A"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0,001</w:t>
            </w:r>
          </w:p>
          <w:p w14:paraId="5AEDB2B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0,899</w:t>
            </w:r>
          </w:p>
          <w:p w14:paraId="6BEF0241"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0,001</w:t>
            </w:r>
          </w:p>
        </w:tc>
      </w:tr>
      <w:tr w:rsidR="005F6F9C" w:rsidRPr="00AA7490" w14:paraId="5B026284" w14:textId="77777777" w:rsidTr="00377796">
        <w:tc>
          <w:tcPr>
            <w:tcW w:w="9606" w:type="dxa"/>
            <w:gridSpan w:val="5"/>
          </w:tcPr>
          <w:p w14:paraId="02D90786" w14:textId="77777777" w:rsidR="005F6F9C" w:rsidRPr="00AA7490" w:rsidRDefault="005F6F9C" w:rsidP="00377796">
            <w:pPr>
              <w:rPr>
                <w:rFonts w:ascii="Times New Roman" w:hAnsi="Times New Roman" w:cs="Times New Roman"/>
                <w:b/>
                <w:i/>
                <w:sz w:val="20"/>
                <w:szCs w:val="20"/>
                <w:lang w:val="en-GB"/>
              </w:rPr>
            </w:pPr>
            <w:r>
              <w:rPr>
                <w:rFonts w:ascii="Times New Roman" w:hAnsi="Times New Roman" w:cs="Times New Roman"/>
                <w:b/>
                <w:i/>
                <w:sz w:val="20"/>
                <w:szCs w:val="20"/>
                <w:lang w:val="en-GB"/>
              </w:rPr>
              <w:t>Neonatal factors</w:t>
            </w:r>
            <w:r w:rsidRPr="00AA7490">
              <w:rPr>
                <w:rFonts w:ascii="Times New Roman" w:hAnsi="Times New Roman" w:cs="Times New Roman"/>
                <w:b/>
                <w:i/>
                <w:sz w:val="20"/>
                <w:szCs w:val="20"/>
                <w:lang w:val="en-GB"/>
              </w:rPr>
              <w:t xml:space="preserve"> </w:t>
            </w:r>
          </w:p>
        </w:tc>
      </w:tr>
      <w:tr w:rsidR="005F6F9C" w:rsidRPr="00AA7490" w14:paraId="08E8ACF9" w14:textId="77777777" w:rsidTr="00377796">
        <w:tc>
          <w:tcPr>
            <w:tcW w:w="4077" w:type="dxa"/>
          </w:tcPr>
          <w:p w14:paraId="058A3CB3"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w:t>
            </w:r>
            <w:r w:rsidRPr="00862B97">
              <w:rPr>
                <w:rFonts w:ascii="Times New Roman" w:hAnsi="Times New Roman" w:cs="Times New Roman"/>
                <w:sz w:val="20"/>
                <w:szCs w:val="20"/>
                <w:lang w:val="en-GB"/>
              </w:rPr>
              <w:t>rematurity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234741D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9 (20,9)</w:t>
            </w:r>
          </w:p>
        </w:tc>
        <w:tc>
          <w:tcPr>
            <w:tcW w:w="1702" w:type="dxa"/>
          </w:tcPr>
          <w:p w14:paraId="7FB6CD3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96 (10,0)</w:t>
            </w:r>
          </w:p>
        </w:tc>
        <w:tc>
          <w:tcPr>
            <w:tcW w:w="1653" w:type="dxa"/>
          </w:tcPr>
          <w:p w14:paraId="22ECBD6F"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2,37 (1,06–5,34)</w:t>
            </w:r>
          </w:p>
        </w:tc>
        <w:tc>
          <w:tcPr>
            <w:tcW w:w="757" w:type="dxa"/>
          </w:tcPr>
          <w:p w14:paraId="6F2C132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0,022</w:t>
            </w:r>
          </w:p>
        </w:tc>
      </w:tr>
      <w:tr w:rsidR="005F6F9C" w:rsidRPr="00AA7490" w14:paraId="7D722F3F" w14:textId="77777777" w:rsidTr="00377796">
        <w:trPr>
          <w:trHeight w:val="963"/>
        </w:trPr>
        <w:tc>
          <w:tcPr>
            <w:tcW w:w="4077" w:type="dxa"/>
          </w:tcPr>
          <w:p w14:paraId="6140771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Type of feeding</w:t>
            </w:r>
            <w:r w:rsidRPr="00AA7490">
              <w:rPr>
                <w:rFonts w:ascii="Times New Roman" w:hAnsi="Times New Roman" w:cs="Times New Roman"/>
                <w:sz w:val="20"/>
                <w:szCs w:val="20"/>
                <w:lang w:val="en-GB"/>
              </w:rPr>
              <w:t xml:space="preserve">, </w:t>
            </w:r>
            <w:proofErr w:type="spellStart"/>
            <w:r w:rsidRPr="00AA7490">
              <w:rPr>
                <w:rFonts w:ascii="Times New Roman" w:hAnsi="Times New Roman" w:cs="Times New Roman"/>
                <w:sz w:val="20"/>
                <w:szCs w:val="20"/>
                <w:lang w:val="en-GB"/>
              </w:rPr>
              <w:t>абс</w:t>
            </w:r>
            <w:proofErr w:type="spellEnd"/>
            <w:r w:rsidRPr="00AA7490">
              <w:rPr>
                <w:rFonts w:ascii="Times New Roman" w:hAnsi="Times New Roman" w:cs="Times New Roman"/>
                <w:sz w:val="20"/>
                <w:szCs w:val="20"/>
                <w:lang w:val="en-GB"/>
              </w:rPr>
              <w:t>. (%)</w:t>
            </w:r>
          </w:p>
          <w:p w14:paraId="012594C3" w14:textId="77777777" w:rsidR="005F6F9C" w:rsidRDefault="005F6F9C" w:rsidP="00377796">
            <w:pPr>
              <w:pStyle w:val="a8"/>
              <w:numPr>
                <w:ilvl w:val="0"/>
                <w:numId w:val="14"/>
              </w:numPr>
              <w:rPr>
                <w:rFonts w:ascii="Times New Roman" w:hAnsi="Times New Roman" w:cs="Times New Roman"/>
                <w:sz w:val="20"/>
                <w:szCs w:val="20"/>
                <w:lang w:val="en-GB"/>
              </w:rPr>
            </w:pPr>
            <w:r w:rsidRPr="00B51E75">
              <w:rPr>
                <w:rFonts w:ascii="Times New Roman" w:hAnsi="Times New Roman" w:cs="Times New Roman"/>
                <w:sz w:val="20"/>
                <w:szCs w:val="20"/>
                <w:lang w:val="en-GB"/>
              </w:rPr>
              <w:t xml:space="preserve">breastfeeding </w:t>
            </w:r>
          </w:p>
          <w:p w14:paraId="19C8A36E" w14:textId="77777777" w:rsidR="005F6F9C" w:rsidRPr="00AA7490" w:rsidRDefault="005F6F9C" w:rsidP="00377796">
            <w:pPr>
              <w:pStyle w:val="a8"/>
              <w:numPr>
                <w:ilvl w:val="0"/>
                <w:numId w:val="14"/>
              </w:numPr>
              <w:rPr>
                <w:rFonts w:ascii="Times New Roman" w:hAnsi="Times New Roman" w:cs="Times New Roman"/>
                <w:sz w:val="20"/>
                <w:szCs w:val="20"/>
                <w:lang w:val="en-GB"/>
              </w:rPr>
            </w:pPr>
            <w:r w:rsidRPr="00B51E75">
              <w:rPr>
                <w:rFonts w:ascii="Times New Roman" w:hAnsi="Times New Roman" w:cs="Times New Roman"/>
                <w:sz w:val="20"/>
                <w:szCs w:val="20"/>
                <w:lang w:val="en-GB"/>
              </w:rPr>
              <w:t>artificial feeding</w:t>
            </w:r>
          </w:p>
          <w:p w14:paraId="41327B58" w14:textId="77777777" w:rsidR="005F6F9C" w:rsidRPr="00AA7490" w:rsidRDefault="005F6F9C" w:rsidP="00377796">
            <w:pPr>
              <w:pStyle w:val="a8"/>
              <w:numPr>
                <w:ilvl w:val="0"/>
                <w:numId w:val="14"/>
              </w:numPr>
              <w:rPr>
                <w:rFonts w:ascii="Times New Roman" w:hAnsi="Times New Roman" w:cs="Times New Roman"/>
                <w:sz w:val="20"/>
                <w:szCs w:val="20"/>
                <w:lang w:val="en-GB"/>
              </w:rPr>
            </w:pPr>
            <w:r w:rsidRPr="00B51E75">
              <w:rPr>
                <w:rFonts w:ascii="Times New Roman" w:hAnsi="Times New Roman" w:cs="Times New Roman"/>
                <w:sz w:val="20"/>
                <w:szCs w:val="20"/>
                <w:lang w:val="en-GB"/>
              </w:rPr>
              <w:t>mixed feeding</w:t>
            </w:r>
          </w:p>
        </w:tc>
        <w:tc>
          <w:tcPr>
            <w:tcW w:w="1417" w:type="dxa"/>
          </w:tcPr>
          <w:p w14:paraId="48B2AFC7" w14:textId="77777777" w:rsidR="005F6F9C" w:rsidRPr="00AA7490" w:rsidRDefault="005F6F9C" w:rsidP="00377796">
            <w:pPr>
              <w:jc w:val="center"/>
              <w:rPr>
                <w:rFonts w:ascii="Times New Roman" w:hAnsi="Times New Roman" w:cs="Times New Roman"/>
                <w:sz w:val="20"/>
                <w:szCs w:val="20"/>
                <w:lang w:val="en-GB"/>
              </w:rPr>
            </w:pPr>
          </w:p>
          <w:p w14:paraId="0A0E4E7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17 (39,5)</w:t>
            </w:r>
          </w:p>
          <w:p w14:paraId="61E61283"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20 (46,5)</w:t>
            </w:r>
          </w:p>
          <w:p w14:paraId="52610427"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6 (14,0)</w:t>
            </w:r>
          </w:p>
        </w:tc>
        <w:tc>
          <w:tcPr>
            <w:tcW w:w="1702" w:type="dxa"/>
          </w:tcPr>
          <w:p w14:paraId="6EE940D4" w14:textId="77777777" w:rsidR="005F6F9C" w:rsidRPr="00AA7490" w:rsidRDefault="005F6F9C" w:rsidP="00377796">
            <w:pPr>
              <w:jc w:val="center"/>
              <w:rPr>
                <w:rFonts w:ascii="Times New Roman" w:hAnsi="Times New Roman" w:cs="Times New Roman"/>
                <w:sz w:val="20"/>
                <w:szCs w:val="20"/>
                <w:lang w:val="en-GB"/>
              </w:rPr>
            </w:pPr>
          </w:p>
          <w:p w14:paraId="0568FE1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729 (76,1)</w:t>
            </w:r>
          </w:p>
          <w:p w14:paraId="27E8F34E"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96 (10,0)</w:t>
            </w:r>
          </w:p>
          <w:p w14:paraId="2ECAB23B"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133 (13,9)</w:t>
            </w:r>
          </w:p>
        </w:tc>
        <w:tc>
          <w:tcPr>
            <w:tcW w:w="1653" w:type="dxa"/>
          </w:tcPr>
          <w:p w14:paraId="3124526F" w14:textId="77777777" w:rsidR="005F6F9C" w:rsidRPr="00AA7490" w:rsidRDefault="005F6F9C" w:rsidP="00377796">
            <w:pPr>
              <w:rPr>
                <w:rFonts w:ascii="Times New Roman" w:hAnsi="Times New Roman" w:cs="Times New Roman"/>
                <w:sz w:val="20"/>
                <w:szCs w:val="20"/>
                <w:lang w:val="en-GB"/>
              </w:rPr>
            </w:pPr>
          </w:p>
          <w:p w14:paraId="597B2D5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0,21 (0,11–0,38)</w:t>
            </w:r>
          </w:p>
          <w:p w14:paraId="658815B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7,82 (3,66–16,73)</w:t>
            </w:r>
          </w:p>
          <w:p w14:paraId="30B6BC0B"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1,0 (0,45–2,24)</w:t>
            </w:r>
          </w:p>
        </w:tc>
        <w:tc>
          <w:tcPr>
            <w:tcW w:w="757" w:type="dxa"/>
          </w:tcPr>
          <w:p w14:paraId="6D58B74D" w14:textId="77777777" w:rsidR="005F6F9C" w:rsidRPr="00AA7490" w:rsidRDefault="005F6F9C" w:rsidP="00377796">
            <w:pPr>
              <w:jc w:val="center"/>
              <w:rPr>
                <w:rFonts w:ascii="Times New Roman" w:hAnsi="Times New Roman" w:cs="Times New Roman"/>
                <w:sz w:val="20"/>
                <w:szCs w:val="20"/>
                <w:lang w:val="en-GB"/>
              </w:rPr>
            </w:pPr>
          </w:p>
          <w:p w14:paraId="7F7D05D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0,001</w:t>
            </w:r>
          </w:p>
          <w:p w14:paraId="7A563FDA"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0,001</w:t>
            </w:r>
          </w:p>
          <w:p w14:paraId="59DC8F4C"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0,989</w:t>
            </w:r>
          </w:p>
        </w:tc>
      </w:tr>
      <w:tr w:rsidR="005F6F9C" w:rsidRPr="00AA7490" w14:paraId="22A7DFEB" w14:textId="77777777" w:rsidTr="00377796">
        <w:tc>
          <w:tcPr>
            <w:tcW w:w="9606" w:type="dxa"/>
            <w:gridSpan w:val="5"/>
          </w:tcPr>
          <w:p w14:paraId="208B7F85" w14:textId="77777777" w:rsidR="005F6F9C" w:rsidRPr="00B51E75" w:rsidRDefault="005F6F9C" w:rsidP="00377796">
            <w:pPr>
              <w:rPr>
                <w:rFonts w:ascii="Times New Roman" w:hAnsi="Times New Roman" w:cs="Times New Roman"/>
                <w:b/>
                <w:i/>
                <w:sz w:val="20"/>
                <w:szCs w:val="20"/>
                <w:lang w:val="en-US"/>
              </w:rPr>
            </w:pPr>
            <w:r>
              <w:rPr>
                <w:rFonts w:ascii="Times New Roman" w:hAnsi="Times New Roman" w:cs="Times New Roman"/>
                <w:b/>
                <w:i/>
                <w:sz w:val="20"/>
                <w:szCs w:val="20"/>
                <w:lang w:val="en-GB"/>
              </w:rPr>
              <w:t>B</w:t>
            </w:r>
            <w:r w:rsidRPr="00B51E75">
              <w:rPr>
                <w:rFonts w:ascii="Times New Roman" w:hAnsi="Times New Roman" w:cs="Times New Roman"/>
                <w:b/>
                <w:i/>
                <w:sz w:val="20"/>
                <w:szCs w:val="20"/>
                <w:lang w:val="en-GB"/>
              </w:rPr>
              <w:t>ehavioural factor</w:t>
            </w:r>
            <w:r>
              <w:rPr>
                <w:rFonts w:ascii="Times New Roman" w:hAnsi="Times New Roman" w:cs="Times New Roman"/>
                <w:b/>
                <w:i/>
                <w:sz w:val="20"/>
                <w:szCs w:val="20"/>
                <w:lang w:val="en-US"/>
              </w:rPr>
              <w:t>s</w:t>
            </w:r>
          </w:p>
        </w:tc>
      </w:tr>
      <w:tr w:rsidR="005F6F9C" w:rsidRPr="00AA7490" w14:paraId="6AEBC7DA" w14:textId="77777777" w:rsidTr="00377796">
        <w:tc>
          <w:tcPr>
            <w:tcW w:w="4077" w:type="dxa"/>
          </w:tcPr>
          <w:p w14:paraId="1D46029B"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Smoking</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abs</w:t>
            </w:r>
            <w:r w:rsidRPr="00AA7490">
              <w:rPr>
                <w:rFonts w:ascii="Times New Roman" w:hAnsi="Times New Roman" w:cs="Times New Roman"/>
                <w:sz w:val="20"/>
                <w:szCs w:val="20"/>
                <w:lang w:val="en-GB"/>
              </w:rPr>
              <w:t xml:space="preserve"> (%)</w:t>
            </w:r>
          </w:p>
        </w:tc>
        <w:tc>
          <w:tcPr>
            <w:tcW w:w="1417" w:type="dxa"/>
          </w:tcPr>
          <w:p w14:paraId="21DEABA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27 (62,8)</w:t>
            </w:r>
          </w:p>
        </w:tc>
        <w:tc>
          <w:tcPr>
            <w:tcW w:w="1702" w:type="dxa"/>
          </w:tcPr>
          <w:p w14:paraId="766D14F7"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451 (47,1)</w:t>
            </w:r>
          </w:p>
        </w:tc>
        <w:tc>
          <w:tcPr>
            <w:tcW w:w="1653" w:type="dxa"/>
          </w:tcPr>
          <w:p w14:paraId="51CA3101"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1,89 (1,08–3,33)</w:t>
            </w:r>
          </w:p>
        </w:tc>
        <w:tc>
          <w:tcPr>
            <w:tcW w:w="757" w:type="dxa"/>
          </w:tcPr>
          <w:p w14:paraId="54C6D525"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0,043</w:t>
            </w:r>
          </w:p>
        </w:tc>
      </w:tr>
      <w:tr w:rsidR="005F6F9C" w:rsidRPr="00AA7490" w14:paraId="33FCD02B" w14:textId="77777777" w:rsidTr="00377796">
        <w:tc>
          <w:tcPr>
            <w:tcW w:w="4077" w:type="dxa"/>
          </w:tcPr>
          <w:p w14:paraId="725EE71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Alcohol abuse abs</w:t>
            </w:r>
            <w:r w:rsidRPr="00AA7490">
              <w:rPr>
                <w:rFonts w:ascii="Times New Roman" w:hAnsi="Times New Roman" w:cs="Times New Roman"/>
                <w:sz w:val="20"/>
                <w:szCs w:val="20"/>
                <w:lang w:val="en-GB"/>
              </w:rPr>
              <w:t xml:space="preserve"> (%)</w:t>
            </w:r>
          </w:p>
        </w:tc>
        <w:tc>
          <w:tcPr>
            <w:tcW w:w="1417" w:type="dxa"/>
          </w:tcPr>
          <w:p w14:paraId="3DD5132F"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5 (11,6)</w:t>
            </w:r>
          </w:p>
        </w:tc>
        <w:tc>
          <w:tcPr>
            <w:tcW w:w="1702" w:type="dxa"/>
          </w:tcPr>
          <w:p w14:paraId="324DCF36"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49 (5,1)</w:t>
            </w:r>
          </w:p>
        </w:tc>
        <w:tc>
          <w:tcPr>
            <w:tcW w:w="1653" w:type="dxa"/>
          </w:tcPr>
          <w:p w14:paraId="6E131BFD"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2,44 (0,83–7,17)</w:t>
            </w:r>
          </w:p>
        </w:tc>
        <w:tc>
          <w:tcPr>
            <w:tcW w:w="757" w:type="dxa"/>
          </w:tcPr>
          <w:p w14:paraId="6E259CC9" w14:textId="77777777" w:rsidR="005F6F9C" w:rsidRPr="00AA7490" w:rsidRDefault="005F6F9C" w:rsidP="00377796">
            <w:pPr>
              <w:jc w:val="center"/>
              <w:rPr>
                <w:rFonts w:ascii="Times New Roman" w:hAnsi="Times New Roman" w:cs="Times New Roman"/>
                <w:sz w:val="20"/>
                <w:szCs w:val="20"/>
                <w:lang w:val="en-GB"/>
              </w:rPr>
            </w:pPr>
            <w:r w:rsidRPr="00AA7490">
              <w:rPr>
                <w:rFonts w:ascii="Times New Roman" w:hAnsi="Times New Roman" w:cs="Times New Roman"/>
                <w:sz w:val="20"/>
                <w:szCs w:val="20"/>
                <w:lang w:val="en-GB"/>
              </w:rPr>
              <w:t>0,064</w:t>
            </w:r>
          </w:p>
        </w:tc>
      </w:tr>
    </w:tbl>
    <w:p w14:paraId="04CAD2EC" w14:textId="77777777" w:rsidR="005F6F9C" w:rsidRPr="00D74627" w:rsidRDefault="005F6F9C" w:rsidP="005F6F9C">
      <w:pPr>
        <w:spacing w:after="0" w:line="240" w:lineRule="auto"/>
        <w:jc w:val="both"/>
        <w:rPr>
          <w:rFonts w:ascii="Times New Roman" w:hAnsi="Times New Roman" w:cs="Times New Roman"/>
          <w:szCs w:val="24"/>
          <w:lang w:val="en-GB"/>
        </w:rPr>
      </w:pPr>
      <w:r w:rsidRPr="00D74627">
        <w:rPr>
          <w:rFonts w:ascii="Times New Roman" w:hAnsi="Times New Roman" w:cs="Times New Roman"/>
          <w:i/>
          <w:szCs w:val="24"/>
          <w:lang w:val="en-GB"/>
        </w:rPr>
        <w:t>Note.</w:t>
      </w:r>
      <w:r w:rsidRPr="00D74627">
        <w:rPr>
          <w:rFonts w:ascii="Times New Roman" w:hAnsi="Times New Roman" w:cs="Times New Roman"/>
          <w:szCs w:val="24"/>
          <w:lang w:val="en-GB"/>
        </w:rPr>
        <w:t xml:space="preserve"> BRUE ― brief resolved unexplained event.</w:t>
      </w:r>
    </w:p>
    <w:p w14:paraId="740A5E48" w14:textId="77777777" w:rsidR="005F6F9C" w:rsidRPr="002468C2" w:rsidRDefault="005F6F9C" w:rsidP="005F6F9C">
      <w:pPr>
        <w:spacing w:after="0" w:line="240" w:lineRule="auto"/>
        <w:jc w:val="both"/>
        <w:rPr>
          <w:rFonts w:ascii="Times New Roman" w:hAnsi="Times New Roman" w:cs="Times New Roman"/>
          <w:sz w:val="24"/>
          <w:szCs w:val="24"/>
          <w:lang w:val="en-GB"/>
        </w:rPr>
      </w:pPr>
    </w:p>
    <w:p w14:paraId="4CCFD2FC" w14:textId="42EDCCEB" w:rsidR="005F6F9C" w:rsidRPr="00AA7490" w:rsidRDefault="002468C2" w:rsidP="005F6F9C">
      <w:pPr>
        <w:spacing w:after="0" w:line="240" w:lineRule="auto"/>
        <w:jc w:val="both"/>
        <w:rPr>
          <w:rFonts w:ascii="Times New Roman" w:hAnsi="Times New Roman" w:cs="Times New Roman"/>
          <w:sz w:val="24"/>
          <w:szCs w:val="24"/>
          <w:lang w:val="en-GB"/>
        </w:rPr>
      </w:pPr>
      <w:proofErr w:type="gramStart"/>
      <w:r>
        <w:rPr>
          <w:rFonts w:ascii="Times New Roman" w:hAnsi="Times New Roman" w:cs="Times New Roman"/>
          <w:b/>
          <w:sz w:val="24"/>
          <w:szCs w:val="24"/>
          <w:lang w:val="en-GB"/>
        </w:rPr>
        <w:t>Table</w:t>
      </w:r>
      <w:r>
        <w:rPr>
          <w:rFonts w:ascii="Times New Roman" w:hAnsi="Times New Roman" w:cs="Times New Roman"/>
          <w:b/>
          <w:sz w:val="24"/>
          <w:szCs w:val="24"/>
        </w:rPr>
        <w:t> </w:t>
      </w:r>
      <w:r w:rsidR="005F6F9C" w:rsidRPr="00AA7490">
        <w:rPr>
          <w:rFonts w:ascii="Times New Roman" w:hAnsi="Times New Roman" w:cs="Times New Roman"/>
          <w:b/>
          <w:sz w:val="24"/>
          <w:szCs w:val="24"/>
          <w:lang w:val="en-GB"/>
        </w:rPr>
        <w:t>2.</w:t>
      </w:r>
      <w:proofErr w:type="gramEnd"/>
      <w:r w:rsidR="005F6F9C" w:rsidRPr="00AA7490">
        <w:rPr>
          <w:rFonts w:ascii="Times New Roman" w:hAnsi="Times New Roman" w:cs="Times New Roman"/>
          <w:sz w:val="24"/>
          <w:szCs w:val="24"/>
          <w:lang w:val="en-GB"/>
        </w:rPr>
        <w:t xml:space="preserve"> </w:t>
      </w:r>
      <w:r w:rsidR="005F6F9C">
        <w:rPr>
          <w:rFonts w:ascii="Times New Roman" w:hAnsi="Times New Roman" w:cs="Times New Roman"/>
          <w:sz w:val="24"/>
          <w:szCs w:val="24"/>
          <w:lang w:val="en-GB"/>
        </w:rPr>
        <w:t xml:space="preserve">Results of </w:t>
      </w:r>
      <w:r w:rsidR="005F6F9C" w:rsidRPr="009159B1">
        <w:rPr>
          <w:rFonts w:ascii="Times New Roman" w:hAnsi="Times New Roman" w:cs="Times New Roman"/>
          <w:sz w:val="24"/>
          <w:szCs w:val="24"/>
          <w:lang w:val="en-GB"/>
        </w:rPr>
        <w:t xml:space="preserve">regression analysis </w:t>
      </w:r>
      <w:r w:rsidR="005F6F9C">
        <w:rPr>
          <w:rFonts w:ascii="Times New Roman" w:hAnsi="Times New Roman" w:cs="Times New Roman"/>
          <w:sz w:val="24"/>
          <w:szCs w:val="24"/>
          <w:lang w:val="en-GB"/>
        </w:rPr>
        <w:t>of life-</w:t>
      </w:r>
      <w:r w:rsidR="005F6F9C" w:rsidRPr="00131814">
        <w:rPr>
          <w:rFonts w:ascii="Times New Roman" w:hAnsi="Times New Roman" w:cs="Times New Roman"/>
          <w:sz w:val="24"/>
          <w:szCs w:val="24"/>
          <w:lang w:val="en-GB"/>
        </w:rPr>
        <w:t>threatening</w:t>
      </w:r>
      <w:r w:rsidR="005F6F9C" w:rsidRPr="00AA7490">
        <w:rPr>
          <w:rFonts w:ascii="Times New Roman" w:hAnsi="Times New Roman" w:cs="Times New Roman"/>
          <w:sz w:val="24"/>
          <w:szCs w:val="24"/>
          <w:lang w:val="en-GB"/>
        </w:rPr>
        <w:t xml:space="preserve"> </w:t>
      </w:r>
      <w:r w:rsidR="005F6F9C">
        <w:rPr>
          <w:rFonts w:ascii="Times New Roman" w:hAnsi="Times New Roman" w:cs="Times New Roman"/>
          <w:sz w:val="24"/>
          <w:szCs w:val="24"/>
          <w:lang w:val="en-GB"/>
        </w:rPr>
        <w:t>conditions and the studied factors in the infant</w:t>
      </w:r>
    </w:p>
    <w:tbl>
      <w:tblPr>
        <w:tblStyle w:val="a4"/>
        <w:tblW w:w="0" w:type="auto"/>
        <w:jc w:val="center"/>
        <w:tblInd w:w="-88" w:type="dxa"/>
        <w:tblLayout w:type="fixed"/>
        <w:tblLook w:val="04A0" w:firstRow="1" w:lastRow="0" w:firstColumn="1" w:lastColumn="0" w:noHBand="0" w:noVBand="1"/>
      </w:tblPr>
      <w:tblGrid>
        <w:gridCol w:w="3382"/>
        <w:gridCol w:w="1984"/>
        <w:gridCol w:w="1385"/>
        <w:gridCol w:w="857"/>
        <w:gridCol w:w="1988"/>
      </w:tblGrid>
      <w:tr w:rsidR="005F6F9C" w:rsidRPr="00D74627" w14:paraId="0E1EB17C" w14:textId="77777777" w:rsidTr="00377796">
        <w:trPr>
          <w:jc w:val="center"/>
        </w:trPr>
        <w:tc>
          <w:tcPr>
            <w:tcW w:w="3382" w:type="dxa"/>
          </w:tcPr>
          <w:p w14:paraId="5BDDFDDD" w14:textId="77777777" w:rsidR="005F6F9C" w:rsidRPr="00D74627" w:rsidRDefault="005F6F9C" w:rsidP="00377796">
            <w:pPr>
              <w:jc w:val="center"/>
              <w:rPr>
                <w:rFonts w:ascii="Times New Roman" w:hAnsi="Times New Roman" w:cs="Times New Roman"/>
                <w:b/>
                <w:lang w:val="en-GB"/>
              </w:rPr>
            </w:pPr>
            <w:r w:rsidRPr="00D74627">
              <w:rPr>
                <w:rFonts w:ascii="Times New Roman" w:hAnsi="Times New Roman" w:cs="Times New Roman"/>
                <w:b/>
                <w:lang w:val="en-GB"/>
              </w:rPr>
              <w:t>Indicators</w:t>
            </w:r>
          </w:p>
        </w:tc>
        <w:tc>
          <w:tcPr>
            <w:tcW w:w="1984" w:type="dxa"/>
          </w:tcPr>
          <w:p w14:paraId="6E60EBD6" w14:textId="77777777" w:rsidR="005F6F9C" w:rsidRPr="00D74627" w:rsidRDefault="005F6F9C" w:rsidP="00377796">
            <w:pPr>
              <w:jc w:val="center"/>
              <w:rPr>
                <w:rFonts w:ascii="Times New Roman" w:hAnsi="Times New Roman" w:cs="Times New Roman"/>
                <w:b/>
                <w:lang w:val="en-GB"/>
              </w:rPr>
            </w:pPr>
            <w:r w:rsidRPr="00D74627">
              <w:rPr>
                <w:rFonts w:ascii="Times New Roman" w:hAnsi="Times New Roman" w:cs="Times New Roman"/>
                <w:b/>
                <w:lang w:val="en-GB"/>
              </w:rPr>
              <w:t>β factor</w:t>
            </w:r>
          </w:p>
        </w:tc>
        <w:tc>
          <w:tcPr>
            <w:tcW w:w="1385" w:type="dxa"/>
          </w:tcPr>
          <w:p w14:paraId="174467CE" w14:textId="77777777" w:rsidR="005F6F9C" w:rsidRPr="00D74627" w:rsidRDefault="005F6F9C" w:rsidP="00377796">
            <w:pPr>
              <w:jc w:val="center"/>
              <w:rPr>
                <w:rFonts w:ascii="Times New Roman" w:hAnsi="Times New Roman" w:cs="Times New Roman"/>
                <w:b/>
                <w:lang w:val="en-GB"/>
              </w:rPr>
            </w:pPr>
            <w:r w:rsidRPr="00D74627">
              <w:rPr>
                <w:rFonts w:ascii="Times New Roman" w:hAnsi="Times New Roman" w:cs="Times New Roman"/>
                <w:b/>
                <w:lang w:val="en-GB"/>
              </w:rPr>
              <w:t>Standard error</w:t>
            </w:r>
          </w:p>
        </w:tc>
        <w:tc>
          <w:tcPr>
            <w:tcW w:w="857" w:type="dxa"/>
          </w:tcPr>
          <w:p w14:paraId="364F1571" w14:textId="77777777" w:rsidR="005F6F9C" w:rsidRPr="00D74627" w:rsidRDefault="005F6F9C" w:rsidP="00377796">
            <w:pPr>
              <w:jc w:val="center"/>
              <w:rPr>
                <w:rFonts w:ascii="Times New Roman" w:hAnsi="Times New Roman" w:cs="Times New Roman"/>
                <w:b/>
                <w:i/>
                <w:lang w:val="en-GB"/>
              </w:rPr>
            </w:pPr>
            <w:r w:rsidRPr="00D74627">
              <w:rPr>
                <w:rFonts w:ascii="Times New Roman" w:hAnsi="Times New Roman" w:cs="Times New Roman"/>
                <w:b/>
                <w:i/>
                <w:lang w:val="en-GB"/>
              </w:rPr>
              <w:t>р</w:t>
            </w:r>
          </w:p>
        </w:tc>
        <w:tc>
          <w:tcPr>
            <w:tcW w:w="1988" w:type="dxa"/>
          </w:tcPr>
          <w:p w14:paraId="12F64E18" w14:textId="77777777" w:rsidR="005F6F9C" w:rsidRPr="00D74627" w:rsidRDefault="005F6F9C" w:rsidP="00377796">
            <w:pPr>
              <w:jc w:val="center"/>
              <w:rPr>
                <w:rFonts w:ascii="Times New Roman" w:hAnsi="Times New Roman" w:cs="Times New Roman"/>
                <w:b/>
                <w:lang w:val="en-GB"/>
              </w:rPr>
            </w:pPr>
            <w:r w:rsidRPr="00D74627">
              <w:rPr>
                <w:rFonts w:ascii="Times New Roman" w:hAnsi="Times New Roman" w:cs="Times New Roman"/>
                <w:b/>
                <w:lang w:val="en-GB"/>
              </w:rPr>
              <w:t>OR (95% CI)</w:t>
            </w:r>
          </w:p>
        </w:tc>
      </w:tr>
      <w:tr w:rsidR="005F6F9C" w:rsidRPr="00D74627" w14:paraId="211C9EA4" w14:textId="77777777" w:rsidTr="00377796">
        <w:trPr>
          <w:jc w:val="center"/>
        </w:trPr>
        <w:tc>
          <w:tcPr>
            <w:tcW w:w="3382" w:type="dxa"/>
          </w:tcPr>
          <w:p w14:paraId="4A8B8F74"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Female sex</w:t>
            </w:r>
          </w:p>
        </w:tc>
        <w:tc>
          <w:tcPr>
            <w:tcW w:w="1984" w:type="dxa"/>
          </w:tcPr>
          <w:p w14:paraId="670B31D3"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0,610</w:t>
            </w:r>
          </w:p>
        </w:tc>
        <w:tc>
          <w:tcPr>
            <w:tcW w:w="1385" w:type="dxa"/>
          </w:tcPr>
          <w:p w14:paraId="33835FF1"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0,395</w:t>
            </w:r>
          </w:p>
        </w:tc>
        <w:tc>
          <w:tcPr>
            <w:tcW w:w="857" w:type="dxa"/>
          </w:tcPr>
          <w:p w14:paraId="520476CB"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0,123</w:t>
            </w:r>
          </w:p>
        </w:tc>
        <w:tc>
          <w:tcPr>
            <w:tcW w:w="1988" w:type="dxa"/>
          </w:tcPr>
          <w:p w14:paraId="104E2636"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1,84 (0,84–3,99)</w:t>
            </w:r>
          </w:p>
        </w:tc>
      </w:tr>
      <w:tr w:rsidR="005F6F9C" w:rsidRPr="00D74627" w14:paraId="61790704" w14:textId="77777777" w:rsidTr="00377796">
        <w:trPr>
          <w:jc w:val="center"/>
        </w:trPr>
        <w:tc>
          <w:tcPr>
            <w:tcW w:w="3382" w:type="dxa"/>
          </w:tcPr>
          <w:p w14:paraId="61FEB5D2"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Statutory marriage</w:t>
            </w:r>
          </w:p>
        </w:tc>
        <w:tc>
          <w:tcPr>
            <w:tcW w:w="1984" w:type="dxa"/>
          </w:tcPr>
          <w:p w14:paraId="039214A1"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-24,264</w:t>
            </w:r>
          </w:p>
        </w:tc>
        <w:tc>
          <w:tcPr>
            <w:tcW w:w="1385" w:type="dxa"/>
          </w:tcPr>
          <w:p w14:paraId="162E2814"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16 137,1</w:t>
            </w:r>
          </w:p>
        </w:tc>
        <w:tc>
          <w:tcPr>
            <w:tcW w:w="857" w:type="dxa"/>
          </w:tcPr>
          <w:p w14:paraId="03C4349A"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0,999</w:t>
            </w:r>
          </w:p>
        </w:tc>
        <w:tc>
          <w:tcPr>
            <w:tcW w:w="1988" w:type="dxa"/>
          </w:tcPr>
          <w:p w14:paraId="1922A74D"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0,00</w:t>
            </w:r>
          </w:p>
        </w:tc>
      </w:tr>
      <w:tr w:rsidR="005F6F9C" w:rsidRPr="00D74627" w14:paraId="019CBAC7" w14:textId="77777777" w:rsidTr="00377796">
        <w:trPr>
          <w:jc w:val="center"/>
        </w:trPr>
        <w:tc>
          <w:tcPr>
            <w:tcW w:w="3382" w:type="dxa"/>
          </w:tcPr>
          <w:p w14:paraId="7B0F20AE"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Father’s higher education</w:t>
            </w:r>
          </w:p>
        </w:tc>
        <w:tc>
          <w:tcPr>
            <w:tcW w:w="1984" w:type="dxa"/>
          </w:tcPr>
          <w:p w14:paraId="0E65B990"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-0,524</w:t>
            </w:r>
          </w:p>
        </w:tc>
        <w:tc>
          <w:tcPr>
            <w:tcW w:w="1385" w:type="dxa"/>
          </w:tcPr>
          <w:p w14:paraId="6F8C70A6"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0,412</w:t>
            </w:r>
          </w:p>
        </w:tc>
        <w:tc>
          <w:tcPr>
            <w:tcW w:w="857" w:type="dxa"/>
          </w:tcPr>
          <w:p w14:paraId="79CA7801"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0,204</w:t>
            </w:r>
          </w:p>
        </w:tc>
        <w:tc>
          <w:tcPr>
            <w:tcW w:w="1988" w:type="dxa"/>
          </w:tcPr>
          <w:p w14:paraId="676AA730"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0,59 (0,26–1,33)</w:t>
            </w:r>
          </w:p>
        </w:tc>
      </w:tr>
      <w:tr w:rsidR="005F6F9C" w:rsidRPr="00D74627" w14:paraId="40967D78" w14:textId="77777777" w:rsidTr="00377796">
        <w:trPr>
          <w:jc w:val="center"/>
        </w:trPr>
        <w:tc>
          <w:tcPr>
            <w:tcW w:w="3382" w:type="dxa"/>
          </w:tcPr>
          <w:p w14:paraId="74B60BB4"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Relatives’ sudden death under 50 years</w:t>
            </w:r>
          </w:p>
        </w:tc>
        <w:tc>
          <w:tcPr>
            <w:tcW w:w="1984" w:type="dxa"/>
          </w:tcPr>
          <w:p w14:paraId="06EBE711"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0,884</w:t>
            </w:r>
          </w:p>
        </w:tc>
        <w:tc>
          <w:tcPr>
            <w:tcW w:w="1385" w:type="dxa"/>
          </w:tcPr>
          <w:p w14:paraId="230C1A9E"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0,395</w:t>
            </w:r>
          </w:p>
        </w:tc>
        <w:tc>
          <w:tcPr>
            <w:tcW w:w="857" w:type="dxa"/>
          </w:tcPr>
          <w:p w14:paraId="2265F605"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0,025</w:t>
            </w:r>
          </w:p>
        </w:tc>
        <w:tc>
          <w:tcPr>
            <w:tcW w:w="1988" w:type="dxa"/>
          </w:tcPr>
          <w:p w14:paraId="3C9BD065"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2,42 (1,12–5,25)</w:t>
            </w:r>
          </w:p>
        </w:tc>
      </w:tr>
      <w:tr w:rsidR="005F6F9C" w:rsidRPr="00D74627" w14:paraId="0C12627C" w14:textId="77777777" w:rsidTr="00377796">
        <w:trPr>
          <w:jc w:val="center"/>
        </w:trPr>
        <w:tc>
          <w:tcPr>
            <w:tcW w:w="3382" w:type="dxa"/>
          </w:tcPr>
          <w:p w14:paraId="68584912"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Syncope/</w:t>
            </w:r>
            <w:proofErr w:type="spellStart"/>
            <w:r w:rsidRPr="00D74627">
              <w:rPr>
                <w:rFonts w:ascii="Times New Roman" w:hAnsi="Times New Roman" w:cs="Times New Roman"/>
                <w:lang w:val="en-GB"/>
              </w:rPr>
              <w:t>presyncope</w:t>
            </w:r>
            <w:proofErr w:type="spellEnd"/>
            <w:r w:rsidRPr="00D74627">
              <w:rPr>
                <w:rFonts w:ascii="Times New Roman" w:hAnsi="Times New Roman" w:cs="Times New Roman"/>
                <w:lang w:val="en-GB"/>
              </w:rPr>
              <w:t xml:space="preserve"> in relatives</w:t>
            </w:r>
          </w:p>
        </w:tc>
        <w:tc>
          <w:tcPr>
            <w:tcW w:w="1984" w:type="dxa"/>
          </w:tcPr>
          <w:p w14:paraId="1DF827A2"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1,475</w:t>
            </w:r>
          </w:p>
        </w:tc>
        <w:tc>
          <w:tcPr>
            <w:tcW w:w="1385" w:type="dxa"/>
          </w:tcPr>
          <w:p w14:paraId="54154180"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0,368</w:t>
            </w:r>
          </w:p>
        </w:tc>
        <w:tc>
          <w:tcPr>
            <w:tcW w:w="857" w:type="dxa"/>
          </w:tcPr>
          <w:p w14:paraId="4E7EA88F"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0,000</w:t>
            </w:r>
          </w:p>
        </w:tc>
        <w:tc>
          <w:tcPr>
            <w:tcW w:w="1988" w:type="dxa"/>
          </w:tcPr>
          <w:p w14:paraId="6C1566B7"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4,37 (2,13–8,99)</w:t>
            </w:r>
          </w:p>
        </w:tc>
      </w:tr>
      <w:tr w:rsidR="005F6F9C" w:rsidRPr="00D74627" w14:paraId="430BC172" w14:textId="77777777" w:rsidTr="00377796">
        <w:trPr>
          <w:jc w:val="center"/>
        </w:trPr>
        <w:tc>
          <w:tcPr>
            <w:tcW w:w="3382" w:type="dxa"/>
          </w:tcPr>
          <w:p w14:paraId="3858E705"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Prematurity</w:t>
            </w:r>
          </w:p>
        </w:tc>
        <w:tc>
          <w:tcPr>
            <w:tcW w:w="1984" w:type="dxa"/>
          </w:tcPr>
          <w:p w14:paraId="45A37898"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0,348</w:t>
            </w:r>
          </w:p>
        </w:tc>
        <w:tc>
          <w:tcPr>
            <w:tcW w:w="1385" w:type="dxa"/>
          </w:tcPr>
          <w:p w14:paraId="2B562787"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0,464</w:t>
            </w:r>
          </w:p>
        </w:tc>
        <w:tc>
          <w:tcPr>
            <w:tcW w:w="857" w:type="dxa"/>
          </w:tcPr>
          <w:p w14:paraId="23372463"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0,453</w:t>
            </w:r>
          </w:p>
        </w:tc>
        <w:tc>
          <w:tcPr>
            <w:tcW w:w="1988" w:type="dxa"/>
          </w:tcPr>
          <w:p w14:paraId="157BA23D"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1,42 (0,57–3,52)</w:t>
            </w:r>
          </w:p>
        </w:tc>
      </w:tr>
      <w:tr w:rsidR="005F6F9C" w:rsidRPr="00D74627" w14:paraId="581531C1" w14:textId="77777777" w:rsidTr="00377796">
        <w:trPr>
          <w:jc w:val="center"/>
        </w:trPr>
        <w:tc>
          <w:tcPr>
            <w:tcW w:w="3382" w:type="dxa"/>
          </w:tcPr>
          <w:p w14:paraId="3509109A"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Breastfeeding</w:t>
            </w:r>
          </w:p>
        </w:tc>
        <w:tc>
          <w:tcPr>
            <w:tcW w:w="1984" w:type="dxa"/>
          </w:tcPr>
          <w:p w14:paraId="37CEA3C9"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-0,510</w:t>
            </w:r>
          </w:p>
        </w:tc>
        <w:tc>
          <w:tcPr>
            <w:tcW w:w="1385" w:type="dxa"/>
          </w:tcPr>
          <w:p w14:paraId="0D6E2692"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0,514</w:t>
            </w:r>
          </w:p>
        </w:tc>
        <w:tc>
          <w:tcPr>
            <w:tcW w:w="857" w:type="dxa"/>
          </w:tcPr>
          <w:p w14:paraId="55CA6CA1"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0,322</w:t>
            </w:r>
          </w:p>
        </w:tc>
        <w:tc>
          <w:tcPr>
            <w:tcW w:w="1988" w:type="dxa"/>
          </w:tcPr>
          <w:p w14:paraId="51B6422A"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0,60 (0,22–1,65)</w:t>
            </w:r>
          </w:p>
        </w:tc>
      </w:tr>
      <w:tr w:rsidR="005F6F9C" w:rsidRPr="00D74627" w14:paraId="3A534826" w14:textId="77777777" w:rsidTr="00377796">
        <w:trPr>
          <w:jc w:val="center"/>
        </w:trPr>
        <w:tc>
          <w:tcPr>
            <w:tcW w:w="3382" w:type="dxa"/>
          </w:tcPr>
          <w:p w14:paraId="4022938D"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Artificial feeding</w:t>
            </w:r>
          </w:p>
        </w:tc>
        <w:tc>
          <w:tcPr>
            <w:tcW w:w="1984" w:type="dxa"/>
          </w:tcPr>
          <w:p w14:paraId="09836B48"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1,397</w:t>
            </w:r>
          </w:p>
        </w:tc>
        <w:tc>
          <w:tcPr>
            <w:tcW w:w="1385" w:type="dxa"/>
          </w:tcPr>
          <w:p w14:paraId="11B76195"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0,520</w:t>
            </w:r>
          </w:p>
        </w:tc>
        <w:tc>
          <w:tcPr>
            <w:tcW w:w="857" w:type="dxa"/>
          </w:tcPr>
          <w:p w14:paraId="43273BFD"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0,007</w:t>
            </w:r>
          </w:p>
        </w:tc>
        <w:tc>
          <w:tcPr>
            <w:tcW w:w="1988" w:type="dxa"/>
          </w:tcPr>
          <w:p w14:paraId="53352EDA"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4,04 (1,46–11,20)</w:t>
            </w:r>
          </w:p>
        </w:tc>
      </w:tr>
      <w:tr w:rsidR="005F6F9C" w:rsidRPr="00D74627" w14:paraId="78C77727" w14:textId="77777777" w:rsidTr="00377796">
        <w:trPr>
          <w:jc w:val="center"/>
        </w:trPr>
        <w:tc>
          <w:tcPr>
            <w:tcW w:w="3382" w:type="dxa"/>
          </w:tcPr>
          <w:p w14:paraId="2803A350" w14:textId="77777777" w:rsidR="005F6F9C" w:rsidRPr="00D74627" w:rsidRDefault="005F6F9C" w:rsidP="00377796">
            <w:pPr>
              <w:rPr>
                <w:rFonts w:ascii="Times New Roman" w:hAnsi="Times New Roman" w:cs="Times New Roman"/>
                <w:lang w:val="en-GB"/>
              </w:rPr>
            </w:pPr>
            <w:r w:rsidRPr="00D74627">
              <w:rPr>
                <w:rFonts w:ascii="Times New Roman" w:hAnsi="Times New Roman" w:cs="Times New Roman"/>
                <w:lang w:val="en-GB"/>
              </w:rPr>
              <w:t>Smoking</w:t>
            </w:r>
          </w:p>
        </w:tc>
        <w:tc>
          <w:tcPr>
            <w:tcW w:w="1984" w:type="dxa"/>
          </w:tcPr>
          <w:p w14:paraId="2E9CEECF"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0,510</w:t>
            </w:r>
          </w:p>
        </w:tc>
        <w:tc>
          <w:tcPr>
            <w:tcW w:w="1385" w:type="dxa"/>
          </w:tcPr>
          <w:p w14:paraId="55823E42"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0,365</w:t>
            </w:r>
          </w:p>
        </w:tc>
        <w:tc>
          <w:tcPr>
            <w:tcW w:w="857" w:type="dxa"/>
          </w:tcPr>
          <w:p w14:paraId="009B59A0"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0,162</w:t>
            </w:r>
          </w:p>
        </w:tc>
        <w:tc>
          <w:tcPr>
            <w:tcW w:w="1988" w:type="dxa"/>
          </w:tcPr>
          <w:p w14:paraId="62C9F4F6" w14:textId="77777777" w:rsidR="005F6F9C" w:rsidRPr="00D74627" w:rsidRDefault="005F6F9C" w:rsidP="00377796">
            <w:pPr>
              <w:jc w:val="center"/>
              <w:rPr>
                <w:rFonts w:ascii="Times New Roman" w:hAnsi="Times New Roman" w:cs="Times New Roman"/>
                <w:lang w:val="en-GB"/>
              </w:rPr>
            </w:pPr>
            <w:r w:rsidRPr="00D74627">
              <w:rPr>
                <w:rFonts w:ascii="Times New Roman" w:hAnsi="Times New Roman" w:cs="Times New Roman"/>
                <w:lang w:val="en-GB"/>
              </w:rPr>
              <w:t>1,67 (0,81–3,41)</w:t>
            </w:r>
          </w:p>
        </w:tc>
      </w:tr>
    </w:tbl>
    <w:p w14:paraId="17330D27" w14:textId="77777777" w:rsidR="005F6F9C" w:rsidRPr="00D74627" w:rsidRDefault="005F6F9C" w:rsidP="005F6F9C">
      <w:pPr>
        <w:spacing w:after="0"/>
        <w:jc w:val="both"/>
        <w:rPr>
          <w:rFonts w:ascii="Times New Roman" w:hAnsi="Times New Roman" w:cs="Times New Roman"/>
          <w:szCs w:val="24"/>
          <w:lang w:val="en-GB"/>
        </w:rPr>
      </w:pPr>
      <w:r w:rsidRPr="00D74627">
        <w:rPr>
          <w:rFonts w:ascii="Times New Roman" w:hAnsi="Times New Roman" w:cs="Times New Roman"/>
          <w:i/>
          <w:szCs w:val="24"/>
          <w:lang w:val="en-GB"/>
        </w:rPr>
        <w:t>Note.</w:t>
      </w:r>
      <w:r w:rsidRPr="00D74627">
        <w:rPr>
          <w:rFonts w:ascii="Times New Roman" w:hAnsi="Times New Roman" w:cs="Times New Roman"/>
          <w:szCs w:val="24"/>
          <w:lang w:val="en-GB"/>
        </w:rPr>
        <w:t xml:space="preserve"> Determination coefficient for multifactor model (R2) is 0,309.</w:t>
      </w:r>
    </w:p>
    <w:p w14:paraId="1C8C5FEC" w14:textId="77777777" w:rsidR="005F6F9C" w:rsidRPr="00AA7490" w:rsidRDefault="005F6F9C" w:rsidP="005F6F9C">
      <w:pPr>
        <w:spacing w:after="0"/>
        <w:jc w:val="both"/>
        <w:rPr>
          <w:rFonts w:ascii="Times New Roman" w:hAnsi="Times New Roman" w:cs="Times New Roman"/>
          <w:sz w:val="24"/>
          <w:szCs w:val="24"/>
          <w:lang w:val="en-GB"/>
        </w:rPr>
      </w:pPr>
    </w:p>
    <w:p w14:paraId="5048908A" w14:textId="39A196CF" w:rsidR="005F6F9C" w:rsidRPr="00AA7490" w:rsidRDefault="005F6F9C" w:rsidP="005F6F9C">
      <w:pPr>
        <w:spacing w:after="0" w:line="240" w:lineRule="auto"/>
        <w:jc w:val="both"/>
        <w:rPr>
          <w:rFonts w:ascii="Times New Roman" w:hAnsi="Times New Roman" w:cs="Times New Roman"/>
          <w:sz w:val="24"/>
          <w:szCs w:val="24"/>
          <w:lang w:val="en-GB"/>
        </w:rPr>
      </w:pPr>
      <w:proofErr w:type="gramStart"/>
      <w:r>
        <w:rPr>
          <w:rFonts w:ascii="Times New Roman" w:hAnsi="Times New Roman" w:cs="Times New Roman"/>
          <w:b/>
          <w:sz w:val="24"/>
          <w:szCs w:val="24"/>
          <w:lang w:val="en-GB"/>
        </w:rPr>
        <w:t>Table</w:t>
      </w:r>
      <w:r w:rsidRPr="00AA7490">
        <w:rPr>
          <w:rFonts w:ascii="Times New Roman" w:hAnsi="Times New Roman" w:cs="Times New Roman"/>
          <w:b/>
          <w:sz w:val="24"/>
          <w:szCs w:val="24"/>
          <w:lang w:val="en-GB"/>
        </w:rPr>
        <w:t> 3.</w:t>
      </w:r>
      <w:proofErr w:type="gramEnd"/>
      <w:r w:rsidRPr="00AA749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Incidence of </w:t>
      </w:r>
      <w:r w:rsidRPr="005B67A9">
        <w:rPr>
          <w:rFonts w:ascii="Times New Roman" w:hAnsi="Times New Roman" w:cs="Times New Roman"/>
          <w:sz w:val="24"/>
          <w:szCs w:val="24"/>
          <w:lang w:val="en-GB"/>
        </w:rPr>
        <w:t>apparent life-threatening event</w:t>
      </w:r>
      <w:r>
        <w:rPr>
          <w:rFonts w:ascii="Times New Roman" w:hAnsi="Times New Roman" w:cs="Times New Roman"/>
          <w:sz w:val="24"/>
          <w:szCs w:val="24"/>
          <w:lang w:val="en-GB"/>
        </w:rPr>
        <w:t xml:space="preserve"> due to the reported studies (1985–2017 </w:t>
      </w:r>
      <w:proofErr w:type="spellStart"/>
      <w:r>
        <w:rPr>
          <w:rFonts w:ascii="Times New Roman" w:hAnsi="Times New Roman" w:cs="Times New Roman"/>
          <w:sz w:val="24"/>
          <w:szCs w:val="24"/>
          <w:lang w:val="en-GB"/>
        </w:rPr>
        <w:t>yy</w:t>
      </w:r>
      <w:proofErr w:type="spellEnd"/>
      <w:r w:rsidRPr="00AA7490">
        <w:rPr>
          <w:rFonts w:ascii="Times New Roman" w:hAnsi="Times New Roman" w:cs="Times New Roman"/>
          <w:sz w:val="24"/>
          <w:szCs w:val="24"/>
          <w:lang w:val="en-GB"/>
        </w:rPr>
        <w:t>)</w:t>
      </w:r>
    </w:p>
    <w:tbl>
      <w:tblPr>
        <w:tblStyle w:val="a4"/>
        <w:tblW w:w="9464" w:type="dxa"/>
        <w:tblLayout w:type="fixed"/>
        <w:tblLook w:val="04A0" w:firstRow="1" w:lastRow="0" w:firstColumn="1" w:lastColumn="0" w:noHBand="0" w:noVBand="1"/>
      </w:tblPr>
      <w:tblGrid>
        <w:gridCol w:w="1242"/>
        <w:gridCol w:w="1134"/>
        <w:gridCol w:w="3969"/>
        <w:gridCol w:w="3119"/>
      </w:tblGrid>
      <w:tr w:rsidR="005F6F9C" w:rsidRPr="00AA7490" w14:paraId="1488E474" w14:textId="77777777" w:rsidTr="00377796">
        <w:tc>
          <w:tcPr>
            <w:tcW w:w="1242" w:type="dxa"/>
          </w:tcPr>
          <w:p w14:paraId="0ADDD3A1" w14:textId="77777777" w:rsidR="005F6F9C" w:rsidRPr="00AA7490" w:rsidRDefault="005F6F9C" w:rsidP="00377796">
            <w:pPr>
              <w:jc w:val="center"/>
              <w:rPr>
                <w:rFonts w:ascii="Times New Roman" w:hAnsi="Times New Roman" w:cs="Times New Roman"/>
                <w:b/>
                <w:sz w:val="20"/>
                <w:szCs w:val="20"/>
                <w:lang w:val="en-GB"/>
              </w:rPr>
            </w:pPr>
            <w:r>
              <w:rPr>
                <w:rFonts w:ascii="Times New Roman" w:hAnsi="Times New Roman" w:cs="Times New Roman"/>
                <w:b/>
                <w:sz w:val="20"/>
                <w:szCs w:val="20"/>
                <w:lang w:val="en-GB"/>
              </w:rPr>
              <w:t>Source</w:t>
            </w:r>
            <w:r w:rsidRPr="00AA7490">
              <w:rPr>
                <w:rFonts w:ascii="Times New Roman" w:hAnsi="Times New Roman" w:cs="Times New Roman"/>
                <w:b/>
                <w:sz w:val="20"/>
                <w:szCs w:val="20"/>
                <w:lang w:val="en-GB"/>
              </w:rPr>
              <w:t xml:space="preserve">, </w:t>
            </w:r>
            <w:r>
              <w:rPr>
                <w:rFonts w:ascii="Times New Roman" w:hAnsi="Times New Roman" w:cs="Times New Roman"/>
                <w:b/>
                <w:sz w:val="20"/>
                <w:szCs w:val="20"/>
                <w:lang w:val="en-GB"/>
              </w:rPr>
              <w:t>year</w:t>
            </w:r>
          </w:p>
        </w:tc>
        <w:tc>
          <w:tcPr>
            <w:tcW w:w="1134" w:type="dxa"/>
          </w:tcPr>
          <w:p w14:paraId="7B0C84A0" w14:textId="77777777" w:rsidR="005F6F9C" w:rsidRPr="00AA7490" w:rsidRDefault="005F6F9C" w:rsidP="00377796">
            <w:pPr>
              <w:jc w:val="center"/>
              <w:rPr>
                <w:rFonts w:ascii="Times New Roman" w:hAnsi="Times New Roman" w:cs="Times New Roman"/>
                <w:b/>
                <w:sz w:val="20"/>
                <w:szCs w:val="20"/>
                <w:lang w:val="en-GB"/>
              </w:rPr>
            </w:pPr>
            <w:r>
              <w:rPr>
                <w:rFonts w:ascii="Times New Roman" w:hAnsi="Times New Roman" w:cs="Times New Roman"/>
                <w:b/>
                <w:sz w:val="20"/>
                <w:szCs w:val="20"/>
                <w:lang w:val="en-GB"/>
              </w:rPr>
              <w:t>Country</w:t>
            </w:r>
          </w:p>
        </w:tc>
        <w:tc>
          <w:tcPr>
            <w:tcW w:w="3969" w:type="dxa"/>
          </w:tcPr>
          <w:p w14:paraId="2A48F6B9" w14:textId="77777777" w:rsidR="005F6F9C" w:rsidRPr="00AA7490" w:rsidRDefault="005F6F9C" w:rsidP="00377796">
            <w:pPr>
              <w:jc w:val="center"/>
              <w:rPr>
                <w:rFonts w:ascii="Times New Roman" w:hAnsi="Times New Roman" w:cs="Times New Roman"/>
                <w:b/>
                <w:sz w:val="20"/>
                <w:szCs w:val="20"/>
                <w:lang w:val="en-GB"/>
              </w:rPr>
            </w:pPr>
            <w:r>
              <w:rPr>
                <w:rFonts w:ascii="Times New Roman" w:hAnsi="Times New Roman" w:cs="Times New Roman"/>
                <w:b/>
                <w:sz w:val="20"/>
                <w:szCs w:val="20"/>
                <w:lang w:val="en-GB"/>
              </w:rPr>
              <w:t>Study characteristics</w:t>
            </w:r>
          </w:p>
        </w:tc>
        <w:tc>
          <w:tcPr>
            <w:tcW w:w="3119" w:type="dxa"/>
          </w:tcPr>
          <w:p w14:paraId="4C2DCFC7" w14:textId="77777777" w:rsidR="005F6F9C" w:rsidRPr="00AA7490" w:rsidRDefault="005F6F9C" w:rsidP="00377796">
            <w:pPr>
              <w:jc w:val="center"/>
              <w:rPr>
                <w:rFonts w:ascii="Times New Roman" w:hAnsi="Times New Roman" w:cs="Times New Roman"/>
                <w:b/>
                <w:sz w:val="20"/>
                <w:szCs w:val="20"/>
                <w:lang w:val="en-GB"/>
              </w:rPr>
            </w:pPr>
            <w:r>
              <w:rPr>
                <w:rFonts w:ascii="Times New Roman" w:hAnsi="Times New Roman" w:cs="Times New Roman"/>
                <w:b/>
                <w:sz w:val="20"/>
                <w:szCs w:val="20"/>
                <w:lang w:val="en-GB"/>
              </w:rPr>
              <w:t>Incidence</w:t>
            </w:r>
          </w:p>
        </w:tc>
      </w:tr>
      <w:tr w:rsidR="005F6F9C" w:rsidRPr="00AA7490" w14:paraId="09E7BD9C" w14:textId="77777777" w:rsidTr="00377796">
        <w:tc>
          <w:tcPr>
            <w:tcW w:w="1242" w:type="dxa"/>
          </w:tcPr>
          <w:p w14:paraId="62B103D7"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[25]</w:t>
            </w:r>
          </w:p>
          <w:p w14:paraId="3BED36CF"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1985</w:t>
            </w:r>
          </w:p>
        </w:tc>
        <w:tc>
          <w:tcPr>
            <w:tcW w:w="1134" w:type="dxa"/>
          </w:tcPr>
          <w:p w14:paraId="165C65AA" w14:textId="77777777" w:rsidR="005F6F9C" w:rsidRPr="00AA7490" w:rsidRDefault="005F6F9C" w:rsidP="00377796">
            <w:pPr>
              <w:rPr>
                <w:rFonts w:ascii="Times New Roman" w:hAnsi="Times New Roman" w:cs="Times New Roman"/>
                <w:sz w:val="20"/>
                <w:szCs w:val="20"/>
                <w:lang w:val="en-GB"/>
              </w:rPr>
            </w:pPr>
            <w:r w:rsidRPr="005C4348">
              <w:rPr>
                <w:rFonts w:ascii="Times New Roman" w:hAnsi="Times New Roman" w:cs="Times New Roman"/>
                <w:sz w:val="20"/>
                <w:szCs w:val="20"/>
                <w:lang w:val="en-GB"/>
              </w:rPr>
              <w:t>Sweden</w:t>
            </w:r>
          </w:p>
        </w:tc>
        <w:tc>
          <w:tcPr>
            <w:tcW w:w="3969" w:type="dxa"/>
          </w:tcPr>
          <w:p w14:paraId="71B4E2A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 study for 2,5 years covered</w:t>
            </w:r>
            <w:r w:rsidRPr="00AA7490">
              <w:rPr>
                <w:rFonts w:ascii="Times New Roman" w:hAnsi="Times New Roman" w:cs="Times New Roman"/>
                <w:sz w:val="20"/>
                <w:szCs w:val="20"/>
                <w:lang w:val="en-GB"/>
              </w:rPr>
              <w:t xml:space="preserve"> 60% </w:t>
            </w:r>
            <w:r>
              <w:rPr>
                <w:rFonts w:ascii="Times New Roman" w:hAnsi="Times New Roman" w:cs="Times New Roman"/>
                <w:sz w:val="20"/>
                <w:szCs w:val="20"/>
                <w:lang w:val="en-GB"/>
              </w:rPr>
              <w:t xml:space="preserve">of healthy </w:t>
            </w:r>
            <w:r w:rsidRPr="009B4F0D">
              <w:rPr>
                <w:rFonts w:ascii="Times New Roman" w:hAnsi="Times New Roman" w:cs="Times New Roman"/>
                <w:sz w:val="20"/>
                <w:szCs w:val="20"/>
                <w:lang w:val="en-GB"/>
              </w:rPr>
              <w:t xml:space="preserve">mature </w:t>
            </w:r>
            <w:proofErr w:type="spellStart"/>
            <w:r w:rsidRPr="009B4F0D">
              <w:rPr>
                <w:rFonts w:ascii="Times New Roman" w:hAnsi="Times New Roman" w:cs="Times New Roman"/>
                <w:sz w:val="20"/>
                <w:szCs w:val="20"/>
                <w:lang w:val="en-GB"/>
              </w:rPr>
              <w:t>newborn</w:t>
            </w:r>
            <w:r>
              <w:rPr>
                <w:rFonts w:ascii="Times New Roman" w:hAnsi="Times New Roman" w:cs="Times New Roman"/>
                <w:sz w:val="20"/>
                <w:szCs w:val="20"/>
                <w:lang w:val="en-GB"/>
              </w:rPr>
              <w:t>s</w:t>
            </w:r>
            <w:proofErr w:type="spellEnd"/>
            <w:r w:rsidRPr="009B4F0D">
              <w:rPr>
                <w:rFonts w:ascii="Times New Roman" w:hAnsi="Times New Roman" w:cs="Times New Roman"/>
                <w:sz w:val="20"/>
                <w:szCs w:val="20"/>
                <w:lang w:val="en-GB"/>
              </w:rPr>
              <w:t xml:space="preserve"> </w:t>
            </w:r>
            <w:r w:rsidRPr="00AA7490">
              <w:rPr>
                <w:rFonts w:ascii="Times New Roman" w:hAnsi="Times New Roman" w:cs="Times New Roman"/>
                <w:sz w:val="20"/>
                <w:szCs w:val="20"/>
                <w:lang w:val="en-GB"/>
              </w:rPr>
              <w:t xml:space="preserve">(near-miss SIDS </w:t>
            </w:r>
            <w:r>
              <w:rPr>
                <w:rFonts w:ascii="Times New Roman" w:hAnsi="Times New Roman" w:cs="Times New Roman"/>
                <w:sz w:val="20"/>
                <w:szCs w:val="20"/>
                <w:lang w:val="en-GB"/>
              </w:rPr>
              <w:t>during first 4 days of life</w:t>
            </w:r>
            <w:r w:rsidRPr="00AA7490">
              <w:rPr>
                <w:rFonts w:ascii="Times New Roman" w:hAnsi="Times New Roman" w:cs="Times New Roman"/>
                <w:sz w:val="20"/>
                <w:szCs w:val="20"/>
                <w:lang w:val="en-GB"/>
              </w:rPr>
              <w:t>)</w:t>
            </w:r>
          </w:p>
        </w:tc>
        <w:tc>
          <w:tcPr>
            <w:tcW w:w="3119" w:type="dxa"/>
          </w:tcPr>
          <w:p w14:paraId="43680DD7"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0,35/1000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r w:rsidR="005F6F9C" w:rsidRPr="00AA7490" w14:paraId="2BA9BE42" w14:textId="77777777" w:rsidTr="00377796">
        <w:tc>
          <w:tcPr>
            <w:tcW w:w="1242" w:type="dxa"/>
          </w:tcPr>
          <w:p w14:paraId="1A61CE9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[24]</w:t>
            </w:r>
          </w:p>
          <w:p w14:paraId="353FEE58"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1987</w:t>
            </w:r>
          </w:p>
        </w:tc>
        <w:tc>
          <w:tcPr>
            <w:tcW w:w="1134" w:type="dxa"/>
          </w:tcPr>
          <w:p w14:paraId="70A77E3B" w14:textId="77777777" w:rsidR="005F6F9C" w:rsidRPr="00AA7490" w:rsidRDefault="005F6F9C" w:rsidP="00377796">
            <w:pPr>
              <w:rPr>
                <w:rFonts w:ascii="Times New Roman" w:hAnsi="Times New Roman" w:cs="Times New Roman"/>
                <w:sz w:val="20"/>
                <w:szCs w:val="20"/>
                <w:lang w:val="en-GB"/>
              </w:rPr>
            </w:pPr>
            <w:r w:rsidRPr="005C4348">
              <w:rPr>
                <w:rFonts w:ascii="Times New Roman" w:hAnsi="Times New Roman" w:cs="Times New Roman"/>
                <w:sz w:val="20"/>
                <w:szCs w:val="20"/>
                <w:lang w:val="en-GB"/>
              </w:rPr>
              <w:t>Sweden</w:t>
            </w:r>
          </w:p>
        </w:tc>
        <w:tc>
          <w:tcPr>
            <w:tcW w:w="3969" w:type="dxa"/>
          </w:tcPr>
          <w:p w14:paraId="64A29C96"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w:t>
            </w:r>
            <w:r w:rsidRPr="00AA7490">
              <w:rPr>
                <w:rFonts w:ascii="Times New Roman" w:hAnsi="Times New Roman" w:cs="Times New Roman"/>
                <w:sz w:val="20"/>
                <w:szCs w:val="20"/>
                <w:lang w:val="en-GB"/>
              </w:rPr>
              <w:t xml:space="preserve"> </w:t>
            </w:r>
            <w:r w:rsidRPr="009B4F0D">
              <w:rPr>
                <w:rFonts w:ascii="Times New Roman" w:hAnsi="Times New Roman" w:cs="Times New Roman"/>
                <w:sz w:val="20"/>
                <w:szCs w:val="20"/>
                <w:lang w:val="en-GB"/>
              </w:rPr>
              <w:t xml:space="preserve">multi-centre study </w:t>
            </w:r>
            <w:r>
              <w:rPr>
                <w:rFonts w:ascii="Times New Roman" w:hAnsi="Times New Roman" w:cs="Times New Roman"/>
                <w:sz w:val="20"/>
                <w:szCs w:val="20"/>
                <w:lang w:val="en-GB"/>
              </w:rPr>
              <w:t>for</w:t>
            </w:r>
            <w:r w:rsidRPr="00AA7490">
              <w:rPr>
                <w:rFonts w:ascii="Times New Roman" w:hAnsi="Times New Roman" w:cs="Times New Roman"/>
                <w:sz w:val="20"/>
                <w:szCs w:val="20"/>
                <w:lang w:val="en-GB"/>
              </w:rPr>
              <w:t xml:space="preserve"> 24 </w:t>
            </w:r>
            <w:r>
              <w:rPr>
                <w:rFonts w:ascii="Times New Roman" w:hAnsi="Times New Roman" w:cs="Times New Roman"/>
                <w:sz w:val="20"/>
                <w:szCs w:val="20"/>
                <w:lang w:val="en-GB"/>
              </w:rPr>
              <w:t>months covered</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nearly</w:t>
            </w:r>
            <w:r w:rsidRPr="00AA7490">
              <w:rPr>
                <w:rFonts w:ascii="Times New Roman" w:hAnsi="Times New Roman" w:cs="Times New Roman"/>
                <w:sz w:val="20"/>
                <w:szCs w:val="20"/>
                <w:lang w:val="en-GB"/>
              </w:rPr>
              <w:t xml:space="preserve"> 40% </w:t>
            </w:r>
            <w:r>
              <w:rPr>
                <w:rFonts w:ascii="Times New Roman" w:hAnsi="Times New Roman" w:cs="Times New Roman"/>
                <w:sz w:val="20"/>
                <w:szCs w:val="20"/>
                <w:lang w:val="en-GB"/>
              </w:rPr>
              <w:t>of all deliveries in</w:t>
            </w:r>
            <w:r w:rsidRPr="00AA7490">
              <w:rPr>
                <w:rFonts w:ascii="Times New Roman" w:hAnsi="Times New Roman" w:cs="Times New Roman"/>
                <w:sz w:val="20"/>
                <w:szCs w:val="20"/>
                <w:lang w:val="en-GB"/>
              </w:rPr>
              <w:t xml:space="preserve"> </w:t>
            </w:r>
            <w:r w:rsidRPr="005C4348">
              <w:rPr>
                <w:rFonts w:ascii="Times New Roman" w:hAnsi="Times New Roman" w:cs="Times New Roman"/>
                <w:sz w:val="20"/>
                <w:szCs w:val="20"/>
                <w:lang w:val="en-GB"/>
              </w:rPr>
              <w:t>Sweden</w:t>
            </w:r>
          </w:p>
        </w:tc>
        <w:tc>
          <w:tcPr>
            <w:tcW w:w="3119" w:type="dxa"/>
          </w:tcPr>
          <w:p w14:paraId="4D5E09C6"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0,46/1000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r w:rsidR="005F6F9C" w:rsidRPr="00AA7490" w14:paraId="6DF78BC3" w14:textId="77777777" w:rsidTr="00377796">
        <w:tc>
          <w:tcPr>
            <w:tcW w:w="1242" w:type="dxa"/>
          </w:tcPr>
          <w:p w14:paraId="29F4AED6"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[23]</w:t>
            </w:r>
          </w:p>
          <w:p w14:paraId="2AE41ECF"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lastRenderedPageBreak/>
              <w:t>2001</w:t>
            </w:r>
          </w:p>
        </w:tc>
        <w:tc>
          <w:tcPr>
            <w:tcW w:w="1134" w:type="dxa"/>
          </w:tcPr>
          <w:p w14:paraId="0C7EC79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New </w:t>
            </w:r>
            <w:r>
              <w:rPr>
                <w:rFonts w:ascii="Times New Roman" w:hAnsi="Times New Roman" w:cs="Times New Roman"/>
                <w:sz w:val="20"/>
                <w:szCs w:val="20"/>
                <w:lang w:val="en-GB"/>
              </w:rPr>
              <w:lastRenderedPageBreak/>
              <w:t>Zeeland</w:t>
            </w:r>
          </w:p>
        </w:tc>
        <w:tc>
          <w:tcPr>
            <w:tcW w:w="3969" w:type="dxa"/>
          </w:tcPr>
          <w:p w14:paraId="76BB9DE8"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lastRenderedPageBreak/>
              <w:t>Retrospective analysis</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of</w:t>
            </w:r>
            <w:r w:rsidRPr="00AA7490">
              <w:rPr>
                <w:rFonts w:ascii="Times New Roman" w:hAnsi="Times New Roman" w:cs="Times New Roman"/>
                <w:sz w:val="20"/>
                <w:szCs w:val="20"/>
                <w:lang w:val="en-GB"/>
              </w:rPr>
              <w:t xml:space="preserve"> </w:t>
            </w:r>
            <w:r w:rsidRPr="009B4F0D">
              <w:rPr>
                <w:rFonts w:ascii="Times New Roman" w:hAnsi="Times New Roman" w:cs="Times New Roman"/>
                <w:sz w:val="20"/>
                <w:szCs w:val="20"/>
                <w:lang w:val="en-GB"/>
              </w:rPr>
              <w:t xml:space="preserve">hospital statistics </w:t>
            </w:r>
            <w:r>
              <w:rPr>
                <w:rFonts w:ascii="Times New Roman" w:hAnsi="Times New Roman" w:cs="Times New Roman"/>
                <w:sz w:val="20"/>
                <w:szCs w:val="20"/>
                <w:lang w:val="en-GB"/>
              </w:rPr>
              <w:lastRenderedPageBreak/>
              <w:t xml:space="preserve">data </w:t>
            </w:r>
            <w:r w:rsidRPr="00AA7490">
              <w:rPr>
                <w:rFonts w:ascii="Times New Roman" w:hAnsi="Times New Roman" w:cs="Times New Roman"/>
                <w:sz w:val="20"/>
                <w:szCs w:val="20"/>
                <w:lang w:val="en-GB"/>
              </w:rPr>
              <w:t>(9-</w:t>
            </w:r>
            <w:r>
              <w:rPr>
                <w:rFonts w:ascii="Times New Roman" w:hAnsi="Times New Roman" w:cs="Times New Roman"/>
                <w:sz w:val="20"/>
                <w:szCs w:val="20"/>
                <w:lang w:val="en-GB"/>
              </w:rPr>
              <w:t>year</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period</w:t>
            </w:r>
            <w:r w:rsidRPr="00AA7490">
              <w:rPr>
                <w:rFonts w:ascii="Times New Roman" w:hAnsi="Times New Roman" w:cs="Times New Roman"/>
                <w:sz w:val="20"/>
                <w:szCs w:val="20"/>
                <w:lang w:val="en-GB"/>
              </w:rPr>
              <w:t>)</w:t>
            </w:r>
          </w:p>
        </w:tc>
        <w:tc>
          <w:tcPr>
            <w:tcW w:w="3119" w:type="dxa"/>
          </w:tcPr>
          <w:p w14:paraId="16A5B403"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lastRenderedPageBreak/>
              <w:t xml:space="preserve">9,4/1000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r w:rsidR="005F6F9C" w:rsidRPr="00503B4D" w14:paraId="443662E1" w14:textId="77777777" w:rsidTr="00377796">
        <w:tc>
          <w:tcPr>
            <w:tcW w:w="1242" w:type="dxa"/>
          </w:tcPr>
          <w:p w14:paraId="4CB9AC47"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lastRenderedPageBreak/>
              <w:t>[12]</w:t>
            </w:r>
          </w:p>
          <w:p w14:paraId="0A1303FA"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2002</w:t>
            </w:r>
          </w:p>
        </w:tc>
        <w:tc>
          <w:tcPr>
            <w:tcW w:w="1134" w:type="dxa"/>
          </w:tcPr>
          <w:p w14:paraId="168C3BAE"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Great Britain</w:t>
            </w:r>
          </w:p>
        </w:tc>
        <w:tc>
          <w:tcPr>
            <w:tcW w:w="3969" w:type="dxa"/>
          </w:tcPr>
          <w:p w14:paraId="1CDA3BF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 study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for</w:t>
            </w:r>
            <w:r w:rsidRPr="00AA7490">
              <w:rPr>
                <w:rFonts w:ascii="Times New Roman" w:hAnsi="Times New Roman" w:cs="Times New Roman"/>
                <w:sz w:val="20"/>
                <w:szCs w:val="20"/>
                <w:lang w:val="en-GB"/>
              </w:rPr>
              <w:t xml:space="preserve"> 12 </w:t>
            </w:r>
            <w:r>
              <w:rPr>
                <w:rFonts w:ascii="Times New Roman" w:hAnsi="Times New Roman" w:cs="Times New Roman"/>
                <w:sz w:val="20"/>
                <w:szCs w:val="20"/>
                <w:lang w:val="en-GB"/>
              </w:rPr>
              <w:t xml:space="preserve">months including </w:t>
            </w:r>
            <w:proofErr w:type="spellStart"/>
            <w:r>
              <w:rPr>
                <w:rFonts w:ascii="Times New Roman" w:hAnsi="Times New Roman" w:cs="Times New Roman"/>
                <w:sz w:val="20"/>
                <w:szCs w:val="20"/>
                <w:lang w:val="en-GB"/>
              </w:rPr>
              <w:t>newborns</w:t>
            </w:r>
            <w:proofErr w:type="spellEnd"/>
            <w:r>
              <w:rPr>
                <w:rFonts w:ascii="Times New Roman" w:hAnsi="Times New Roman" w:cs="Times New Roman"/>
                <w:sz w:val="20"/>
                <w:szCs w:val="20"/>
                <w:lang w:val="en-GB"/>
              </w:rPr>
              <w:t xml:space="preserve"> who undergone </w:t>
            </w:r>
            <w:r w:rsidRPr="00082278">
              <w:rPr>
                <w:rFonts w:ascii="Times New Roman" w:hAnsi="Times New Roman" w:cs="Times New Roman"/>
                <w:sz w:val="20"/>
                <w:szCs w:val="20"/>
                <w:lang w:val="en-GB"/>
              </w:rPr>
              <w:t xml:space="preserve">emergency medical care </w:t>
            </w:r>
            <w:r>
              <w:rPr>
                <w:rFonts w:ascii="Times New Roman" w:hAnsi="Times New Roman" w:cs="Times New Roman"/>
                <w:sz w:val="20"/>
                <w:szCs w:val="20"/>
                <w:lang w:val="en-GB"/>
              </w:rPr>
              <w:t>due to ALTE</w:t>
            </w:r>
          </w:p>
        </w:tc>
        <w:tc>
          <w:tcPr>
            <w:tcW w:w="3119" w:type="dxa"/>
          </w:tcPr>
          <w:p w14:paraId="7B3BE7BE"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0,6% </w:t>
            </w:r>
            <w:r>
              <w:rPr>
                <w:rFonts w:ascii="Times New Roman" w:hAnsi="Times New Roman" w:cs="Times New Roman"/>
                <w:sz w:val="20"/>
                <w:szCs w:val="20"/>
                <w:lang w:val="en-US"/>
              </w:rPr>
              <w:t>of total number of</w:t>
            </w:r>
            <w:r w:rsidRPr="00AA7490">
              <w:rPr>
                <w:rFonts w:ascii="Times New Roman" w:hAnsi="Times New Roman" w:cs="Times New Roman"/>
                <w:sz w:val="20"/>
                <w:szCs w:val="20"/>
                <w:lang w:val="en-GB"/>
              </w:rPr>
              <w:t xml:space="preserve"> </w:t>
            </w:r>
            <w:r w:rsidRPr="00CE07B9">
              <w:rPr>
                <w:rFonts w:ascii="Times New Roman" w:hAnsi="Times New Roman" w:cs="Times New Roman"/>
                <w:sz w:val="20"/>
                <w:szCs w:val="20"/>
                <w:lang w:val="en-GB"/>
              </w:rPr>
              <w:t>reference</w:t>
            </w:r>
            <w:r>
              <w:rPr>
                <w:rFonts w:ascii="Times New Roman" w:hAnsi="Times New Roman" w:cs="Times New Roman"/>
                <w:sz w:val="20"/>
                <w:szCs w:val="20"/>
                <w:lang w:val="en-US"/>
              </w:rPr>
              <w:t>s</w:t>
            </w:r>
            <w:r w:rsidRPr="00CE07B9">
              <w:rPr>
                <w:rFonts w:ascii="Times New Roman" w:hAnsi="Times New Roman" w:cs="Times New Roman"/>
                <w:sz w:val="20"/>
                <w:szCs w:val="20"/>
                <w:lang w:val="en-GB"/>
              </w:rPr>
              <w:t xml:space="preserve"> </w:t>
            </w:r>
            <w:r>
              <w:rPr>
                <w:rFonts w:ascii="Times New Roman" w:hAnsi="Times New Roman" w:cs="Times New Roman"/>
                <w:sz w:val="20"/>
                <w:szCs w:val="20"/>
                <w:lang w:val="en-GB"/>
              </w:rPr>
              <w:t>for</w:t>
            </w:r>
            <w:r w:rsidRPr="00CE07B9">
              <w:rPr>
                <w:rFonts w:ascii="Times New Roman" w:hAnsi="Times New Roman" w:cs="Times New Roman"/>
                <w:sz w:val="20"/>
                <w:szCs w:val="20"/>
                <w:lang w:val="en-GB"/>
              </w:rPr>
              <w:t xml:space="preserve"> </w:t>
            </w:r>
            <w:r w:rsidRPr="00082278">
              <w:rPr>
                <w:rFonts w:ascii="Times New Roman" w:hAnsi="Times New Roman" w:cs="Times New Roman"/>
                <w:sz w:val="20"/>
                <w:szCs w:val="20"/>
                <w:lang w:val="en-GB"/>
              </w:rPr>
              <w:t xml:space="preserve">emergency medical care </w:t>
            </w:r>
            <w:r>
              <w:rPr>
                <w:rFonts w:ascii="Times New Roman" w:hAnsi="Times New Roman" w:cs="Times New Roman"/>
                <w:sz w:val="20"/>
                <w:szCs w:val="20"/>
                <w:lang w:val="en-GB"/>
              </w:rPr>
              <w:t>for infants</w:t>
            </w:r>
          </w:p>
        </w:tc>
      </w:tr>
      <w:tr w:rsidR="005F6F9C" w:rsidRPr="00503B4D" w14:paraId="71A4B208" w14:textId="77777777" w:rsidTr="00377796">
        <w:tc>
          <w:tcPr>
            <w:tcW w:w="1242" w:type="dxa"/>
          </w:tcPr>
          <w:p w14:paraId="757C1924"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[26]</w:t>
            </w:r>
          </w:p>
          <w:p w14:paraId="34DD7E41"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2004</w:t>
            </w:r>
          </w:p>
        </w:tc>
        <w:tc>
          <w:tcPr>
            <w:tcW w:w="1134" w:type="dxa"/>
          </w:tcPr>
          <w:p w14:paraId="304146FA"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USA</w:t>
            </w:r>
          </w:p>
        </w:tc>
        <w:tc>
          <w:tcPr>
            <w:tcW w:w="3969" w:type="dxa"/>
          </w:tcPr>
          <w:p w14:paraId="534CA39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 xml:space="preserve">Retrospective </w:t>
            </w:r>
            <w:r w:rsidRPr="00082278">
              <w:rPr>
                <w:rFonts w:ascii="Times New Roman" w:hAnsi="Times New Roman" w:cs="Times New Roman"/>
                <w:sz w:val="20"/>
                <w:szCs w:val="20"/>
                <w:lang w:val="en-GB"/>
              </w:rPr>
              <w:t xml:space="preserve">cohort study </w:t>
            </w:r>
            <w:r w:rsidRPr="00AA7490">
              <w:rPr>
                <w:rFonts w:ascii="Times New Roman" w:hAnsi="Times New Roman" w:cs="Times New Roman"/>
                <w:sz w:val="20"/>
                <w:szCs w:val="20"/>
                <w:lang w:val="en-GB"/>
              </w:rPr>
              <w:t>(</w:t>
            </w:r>
            <w:r>
              <w:rPr>
                <w:rFonts w:ascii="Times New Roman" w:hAnsi="Times New Roman" w:cs="Times New Roman"/>
                <w:sz w:val="20"/>
                <w:szCs w:val="20"/>
                <w:lang w:val="en-GB"/>
              </w:rPr>
              <w:t>1-year period</w:t>
            </w:r>
            <w:r w:rsidRPr="00AA7490">
              <w:rPr>
                <w:rFonts w:ascii="Times New Roman" w:hAnsi="Times New Roman" w:cs="Times New Roman"/>
                <w:sz w:val="20"/>
                <w:szCs w:val="20"/>
                <w:lang w:val="en-GB"/>
              </w:rPr>
              <w:t>)</w:t>
            </w:r>
          </w:p>
        </w:tc>
        <w:tc>
          <w:tcPr>
            <w:tcW w:w="3119" w:type="dxa"/>
          </w:tcPr>
          <w:p w14:paraId="3E2D79C1"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7,5% </w:t>
            </w:r>
            <w:r>
              <w:rPr>
                <w:rFonts w:ascii="Times New Roman" w:hAnsi="Times New Roman" w:cs="Times New Roman"/>
                <w:sz w:val="20"/>
                <w:szCs w:val="20"/>
                <w:lang w:val="en-GB"/>
              </w:rPr>
              <w:t xml:space="preserve">of infants </w:t>
            </w:r>
            <w:r w:rsidRPr="00AC7087">
              <w:rPr>
                <w:rFonts w:ascii="Times New Roman" w:hAnsi="Times New Roman" w:cs="Times New Roman"/>
                <w:sz w:val="20"/>
                <w:szCs w:val="20"/>
                <w:lang w:val="en-GB"/>
              </w:rPr>
              <w:t>hospitalize</w:t>
            </w:r>
            <w:r>
              <w:rPr>
                <w:rFonts w:ascii="Times New Roman" w:hAnsi="Times New Roman" w:cs="Times New Roman"/>
                <w:sz w:val="20"/>
                <w:szCs w:val="20"/>
                <w:lang w:val="en-GB"/>
              </w:rPr>
              <w:t xml:space="preserve">d in </w:t>
            </w:r>
            <w:r w:rsidRPr="00AC7087">
              <w:rPr>
                <w:rFonts w:ascii="Times New Roman" w:hAnsi="Times New Roman" w:cs="Times New Roman"/>
                <w:sz w:val="20"/>
                <w:szCs w:val="20"/>
                <w:lang w:val="en-GB"/>
              </w:rPr>
              <w:t>emergency department</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with diagnosed</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ALTE</w:t>
            </w:r>
            <w:r w:rsidRPr="00AA7490">
              <w:rPr>
                <w:rFonts w:ascii="Times New Roman" w:hAnsi="Times New Roman" w:cs="Times New Roman"/>
                <w:sz w:val="20"/>
                <w:szCs w:val="20"/>
                <w:lang w:val="en-GB"/>
              </w:rPr>
              <w:t>)</w:t>
            </w:r>
          </w:p>
        </w:tc>
      </w:tr>
      <w:tr w:rsidR="005F6F9C" w:rsidRPr="00AA7490" w14:paraId="7D8F0F0F" w14:textId="77777777" w:rsidTr="00377796">
        <w:tc>
          <w:tcPr>
            <w:tcW w:w="1242" w:type="dxa"/>
          </w:tcPr>
          <w:p w14:paraId="564EE3B4"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[6]</w:t>
            </w:r>
          </w:p>
          <w:p w14:paraId="2B82418A"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2005</w:t>
            </w:r>
          </w:p>
        </w:tc>
        <w:tc>
          <w:tcPr>
            <w:tcW w:w="1134" w:type="dxa"/>
          </w:tcPr>
          <w:p w14:paraId="3F191A1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Austria</w:t>
            </w:r>
          </w:p>
        </w:tc>
        <w:tc>
          <w:tcPr>
            <w:tcW w:w="3969" w:type="dxa"/>
          </w:tcPr>
          <w:p w14:paraId="410B68E2"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 xml:space="preserve">Prospective study involving all </w:t>
            </w:r>
            <w:proofErr w:type="spellStart"/>
            <w:r>
              <w:rPr>
                <w:rFonts w:ascii="Times New Roman" w:hAnsi="Times New Roman" w:cs="Times New Roman"/>
                <w:sz w:val="20"/>
                <w:szCs w:val="20"/>
                <w:lang w:val="en-GB"/>
              </w:rPr>
              <w:t>liveborn</w:t>
            </w:r>
            <w:proofErr w:type="spellEnd"/>
            <w:r>
              <w:rPr>
                <w:rFonts w:ascii="Times New Roman" w:hAnsi="Times New Roman" w:cs="Times New Roman"/>
                <w:sz w:val="20"/>
                <w:szCs w:val="20"/>
                <w:lang w:val="en-GB"/>
              </w:rPr>
              <w:t xml:space="preserve"> infants in </w:t>
            </w:r>
            <w:r w:rsidRPr="004600AA">
              <w:rPr>
                <w:rFonts w:ascii="Times New Roman" w:hAnsi="Times New Roman" w:cs="Times New Roman"/>
                <w:sz w:val="20"/>
                <w:szCs w:val="20"/>
                <w:lang w:val="en-GB"/>
              </w:rPr>
              <w:t xml:space="preserve">Tirol </w:t>
            </w:r>
            <w:r>
              <w:rPr>
                <w:rFonts w:ascii="Times New Roman" w:hAnsi="Times New Roman" w:cs="Times New Roman"/>
                <w:sz w:val="20"/>
                <w:szCs w:val="20"/>
                <w:lang w:val="en-GB"/>
              </w:rPr>
              <w:t>for</w:t>
            </w:r>
            <w:r w:rsidRPr="00AA7490">
              <w:rPr>
                <w:rFonts w:ascii="Times New Roman" w:hAnsi="Times New Roman" w:cs="Times New Roman"/>
                <w:sz w:val="20"/>
                <w:szCs w:val="20"/>
                <w:lang w:val="en-GB"/>
              </w:rPr>
              <w:t xml:space="preserve"> 9-</w:t>
            </w:r>
            <w:r>
              <w:rPr>
                <w:rFonts w:ascii="Times New Roman" w:hAnsi="Times New Roman" w:cs="Times New Roman"/>
                <w:sz w:val="20"/>
                <w:szCs w:val="20"/>
                <w:lang w:val="en-GB"/>
              </w:rPr>
              <w:t>year</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period</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ALTE</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identified according to</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hospitalization data</w:t>
            </w:r>
          </w:p>
        </w:tc>
        <w:tc>
          <w:tcPr>
            <w:tcW w:w="3119" w:type="dxa"/>
          </w:tcPr>
          <w:p w14:paraId="6DC36F3B"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2,46/1000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r w:rsidR="005F6F9C" w:rsidRPr="00503B4D" w14:paraId="30A0D3CE" w14:textId="77777777" w:rsidTr="00377796">
        <w:tc>
          <w:tcPr>
            <w:tcW w:w="1242" w:type="dxa"/>
          </w:tcPr>
          <w:p w14:paraId="7441B08D"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[27] </w:t>
            </w:r>
          </w:p>
          <w:p w14:paraId="171F060A"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2005</w:t>
            </w:r>
          </w:p>
        </w:tc>
        <w:tc>
          <w:tcPr>
            <w:tcW w:w="1134" w:type="dxa"/>
          </w:tcPr>
          <w:p w14:paraId="1C376801"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USA</w:t>
            </w:r>
          </w:p>
        </w:tc>
        <w:tc>
          <w:tcPr>
            <w:tcW w:w="3969" w:type="dxa"/>
          </w:tcPr>
          <w:p w14:paraId="149DB4F3"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Retrospective study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32-months period</w:t>
            </w:r>
            <w:r w:rsidRPr="00AA7490">
              <w:rPr>
                <w:rFonts w:ascii="Times New Roman" w:hAnsi="Times New Roman" w:cs="Times New Roman"/>
                <w:sz w:val="20"/>
                <w:szCs w:val="20"/>
                <w:lang w:val="en-GB"/>
              </w:rPr>
              <w:t>)</w:t>
            </w:r>
          </w:p>
        </w:tc>
        <w:tc>
          <w:tcPr>
            <w:tcW w:w="3119" w:type="dxa"/>
          </w:tcPr>
          <w:p w14:paraId="013385CE"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5,9% </w:t>
            </w:r>
            <w:r>
              <w:rPr>
                <w:rFonts w:ascii="Times New Roman" w:hAnsi="Times New Roman" w:cs="Times New Roman"/>
                <w:sz w:val="20"/>
                <w:szCs w:val="20"/>
                <w:lang w:val="en-GB"/>
              </w:rPr>
              <w:t xml:space="preserve">of all infants </w:t>
            </w:r>
            <w:r w:rsidRPr="00AC7087">
              <w:rPr>
                <w:rFonts w:ascii="Times New Roman" w:hAnsi="Times New Roman" w:cs="Times New Roman"/>
                <w:sz w:val="20"/>
                <w:szCs w:val="20"/>
                <w:lang w:val="en-GB"/>
              </w:rPr>
              <w:t>hospitalize</w:t>
            </w:r>
            <w:r>
              <w:rPr>
                <w:rFonts w:ascii="Times New Roman" w:hAnsi="Times New Roman" w:cs="Times New Roman"/>
                <w:sz w:val="20"/>
                <w:szCs w:val="20"/>
                <w:lang w:val="en-GB"/>
              </w:rPr>
              <w:t xml:space="preserve">d in </w:t>
            </w:r>
            <w:r w:rsidRPr="00AC7087">
              <w:rPr>
                <w:rFonts w:ascii="Times New Roman" w:hAnsi="Times New Roman" w:cs="Times New Roman"/>
                <w:sz w:val="20"/>
                <w:szCs w:val="20"/>
                <w:lang w:val="en-GB"/>
              </w:rPr>
              <w:t>emergency department</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with diagnosed</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ALTE</w:t>
            </w:r>
            <w:r w:rsidRPr="00AA7490">
              <w:rPr>
                <w:rFonts w:ascii="Times New Roman" w:hAnsi="Times New Roman" w:cs="Times New Roman"/>
                <w:sz w:val="20"/>
                <w:szCs w:val="20"/>
                <w:lang w:val="en-GB"/>
              </w:rPr>
              <w:t>)</w:t>
            </w:r>
          </w:p>
        </w:tc>
      </w:tr>
      <w:tr w:rsidR="005F6F9C" w:rsidRPr="00503B4D" w14:paraId="2797332C" w14:textId="77777777" w:rsidTr="00377796">
        <w:tc>
          <w:tcPr>
            <w:tcW w:w="1242" w:type="dxa"/>
          </w:tcPr>
          <w:p w14:paraId="24EA4082"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[28]</w:t>
            </w:r>
          </w:p>
          <w:p w14:paraId="49B982D2"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2007</w:t>
            </w:r>
          </w:p>
        </w:tc>
        <w:tc>
          <w:tcPr>
            <w:tcW w:w="1134" w:type="dxa"/>
          </w:tcPr>
          <w:p w14:paraId="6CDC8E56"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Spain</w:t>
            </w:r>
          </w:p>
        </w:tc>
        <w:tc>
          <w:tcPr>
            <w:tcW w:w="3969" w:type="dxa"/>
          </w:tcPr>
          <w:p w14:paraId="644D6BE1"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 study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of </w:t>
            </w:r>
            <w:r w:rsidRPr="0098596B">
              <w:rPr>
                <w:rFonts w:ascii="Times New Roman" w:hAnsi="Times New Roman" w:cs="Times New Roman"/>
                <w:sz w:val="20"/>
                <w:szCs w:val="20"/>
                <w:lang w:val="en-GB"/>
              </w:rPr>
              <w:t>case series</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14-months period</w:t>
            </w:r>
            <w:r w:rsidRPr="00AA7490">
              <w:rPr>
                <w:rFonts w:ascii="Times New Roman" w:hAnsi="Times New Roman" w:cs="Times New Roman"/>
                <w:sz w:val="20"/>
                <w:szCs w:val="20"/>
                <w:lang w:val="en-GB"/>
              </w:rPr>
              <w:t>)</w:t>
            </w:r>
          </w:p>
        </w:tc>
        <w:tc>
          <w:tcPr>
            <w:tcW w:w="3119" w:type="dxa"/>
          </w:tcPr>
          <w:p w14:paraId="0930937F"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0,53% </w:t>
            </w:r>
            <w:r>
              <w:rPr>
                <w:rFonts w:ascii="Times New Roman" w:hAnsi="Times New Roman" w:cs="Times New Roman"/>
                <w:sz w:val="20"/>
                <w:szCs w:val="20"/>
                <w:lang w:val="en-GB"/>
              </w:rPr>
              <w:t>of all</w:t>
            </w:r>
            <w:r w:rsidRPr="00AA7490">
              <w:rPr>
                <w:rFonts w:ascii="Times New Roman" w:hAnsi="Times New Roman" w:cs="Times New Roman"/>
                <w:sz w:val="20"/>
                <w:szCs w:val="20"/>
                <w:lang w:val="en-GB"/>
              </w:rPr>
              <w:t xml:space="preserve"> </w:t>
            </w:r>
            <w:r w:rsidRPr="00AC7087">
              <w:rPr>
                <w:rFonts w:ascii="Times New Roman" w:hAnsi="Times New Roman" w:cs="Times New Roman"/>
                <w:sz w:val="20"/>
                <w:szCs w:val="20"/>
                <w:lang w:val="en-GB"/>
              </w:rPr>
              <w:t>hospitalize</w:t>
            </w:r>
            <w:r>
              <w:rPr>
                <w:rFonts w:ascii="Times New Roman" w:hAnsi="Times New Roman" w:cs="Times New Roman"/>
                <w:sz w:val="20"/>
                <w:szCs w:val="20"/>
                <w:lang w:val="en-GB"/>
              </w:rPr>
              <w:t xml:space="preserve">d in </w:t>
            </w:r>
            <w:r w:rsidRPr="00AC7087">
              <w:rPr>
                <w:rFonts w:ascii="Times New Roman" w:hAnsi="Times New Roman" w:cs="Times New Roman"/>
                <w:sz w:val="20"/>
                <w:szCs w:val="20"/>
                <w:lang w:val="en-GB"/>
              </w:rPr>
              <w:t>emergency department</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with diagnosed</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ALTE</w:t>
            </w:r>
            <w:r w:rsidRPr="00AA7490">
              <w:rPr>
                <w:rFonts w:ascii="Times New Roman" w:hAnsi="Times New Roman" w:cs="Times New Roman"/>
                <w:sz w:val="20"/>
                <w:szCs w:val="20"/>
                <w:lang w:val="en-GB"/>
              </w:rPr>
              <w:t>)</w:t>
            </w:r>
          </w:p>
        </w:tc>
      </w:tr>
      <w:tr w:rsidR="005F6F9C" w:rsidRPr="00AA7490" w14:paraId="2E2FDBB7" w14:textId="77777777" w:rsidTr="00377796">
        <w:tc>
          <w:tcPr>
            <w:tcW w:w="1242" w:type="dxa"/>
          </w:tcPr>
          <w:p w14:paraId="6E92F620"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[29]</w:t>
            </w:r>
          </w:p>
          <w:p w14:paraId="16F90CF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2010</w:t>
            </w:r>
          </w:p>
        </w:tc>
        <w:tc>
          <w:tcPr>
            <w:tcW w:w="1134" w:type="dxa"/>
          </w:tcPr>
          <w:p w14:paraId="6B73CD7A"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Netherlands</w:t>
            </w:r>
          </w:p>
        </w:tc>
        <w:tc>
          <w:tcPr>
            <w:tcW w:w="3969" w:type="dxa"/>
          </w:tcPr>
          <w:p w14:paraId="549EA86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C</w:t>
            </w:r>
            <w:r w:rsidRPr="0098596B">
              <w:rPr>
                <w:rFonts w:ascii="Times New Roman" w:hAnsi="Times New Roman" w:cs="Times New Roman"/>
                <w:sz w:val="20"/>
                <w:szCs w:val="20"/>
                <w:lang w:val="en-GB"/>
              </w:rPr>
              <w:t xml:space="preserve">ross sectional study </w:t>
            </w:r>
            <w:r w:rsidRPr="00AA7490">
              <w:rPr>
                <w:rFonts w:ascii="Times New Roman" w:hAnsi="Times New Roman" w:cs="Times New Roman"/>
                <w:sz w:val="20"/>
                <w:szCs w:val="20"/>
                <w:lang w:val="en-GB"/>
              </w:rPr>
              <w:t>(</w:t>
            </w:r>
            <w:r>
              <w:rPr>
                <w:rFonts w:ascii="Times New Roman" w:hAnsi="Times New Roman" w:cs="Times New Roman"/>
                <w:sz w:val="20"/>
                <w:szCs w:val="20"/>
                <w:lang w:val="en-GB"/>
              </w:rPr>
              <w:t>during</w:t>
            </w:r>
            <w:r w:rsidRPr="00AA7490">
              <w:rPr>
                <w:rFonts w:ascii="Times New Roman" w:hAnsi="Times New Roman" w:cs="Times New Roman"/>
                <w:sz w:val="20"/>
                <w:szCs w:val="20"/>
                <w:lang w:val="en-GB"/>
              </w:rPr>
              <w:t xml:space="preserve"> 1 </w:t>
            </w:r>
            <w:r>
              <w:rPr>
                <w:rFonts w:ascii="Times New Roman" w:hAnsi="Times New Roman" w:cs="Times New Roman"/>
                <w:sz w:val="20"/>
                <w:szCs w:val="20"/>
                <w:lang w:val="en-GB"/>
              </w:rPr>
              <w:t>year</w:t>
            </w:r>
            <w:r w:rsidRPr="00AA7490">
              <w:rPr>
                <w:rFonts w:ascii="Times New Roman" w:hAnsi="Times New Roman" w:cs="Times New Roman"/>
                <w:sz w:val="20"/>
                <w:szCs w:val="20"/>
                <w:lang w:val="en-GB"/>
              </w:rPr>
              <w:t>)</w:t>
            </w:r>
          </w:p>
        </w:tc>
        <w:tc>
          <w:tcPr>
            <w:tcW w:w="3119" w:type="dxa"/>
          </w:tcPr>
          <w:p w14:paraId="65B00EA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0,58/1000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r w:rsidR="005F6F9C" w:rsidRPr="00503B4D" w14:paraId="2478200C" w14:textId="77777777" w:rsidTr="00377796">
        <w:tc>
          <w:tcPr>
            <w:tcW w:w="1242" w:type="dxa"/>
          </w:tcPr>
          <w:p w14:paraId="7D0CBF4A"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[20] </w:t>
            </w:r>
          </w:p>
          <w:p w14:paraId="6D13627B"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2010</w:t>
            </w:r>
          </w:p>
        </w:tc>
        <w:tc>
          <w:tcPr>
            <w:tcW w:w="1134" w:type="dxa"/>
          </w:tcPr>
          <w:p w14:paraId="1BB5F86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Russia</w:t>
            </w:r>
          </w:p>
        </w:tc>
        <w:tc>
          <w:tcPr>
            <w:tcW w:w="3969" w:type="dxa"/>
          </w:tcPr>
          <w:p w14:paraId="2F075AAA"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R</w:t>
            </w:r>
            <w:r w:rsidRPr="00974169">
              <w:rPr>
                <w:rFonts w:ascii="Times New Roman" w:hAnsi="Times New Roman" w:cs="Times New Roman"/>
                <w:sz w:val="20"/>
                <w:szCs w:val="20"/>
                <w:lang w:val="en-GB"/>
              </w:rPr>
              <w:t xml:space="preserve">etrospective analysis </w:t>
            </w:r>
            <w:r>
              <w:rPr>
                <w:rFonts w:ascii="Times New Roman" w:hAnsi="Times New Roman" w:cs="Times New Roman"/>
                <w:sz w:val="20"/>
                <w:szCs w:val="20"/>
                <w:lang w:val="en-GB"/>
              </w:rPr>
              <w:t>of infants hospitalization</w:t>
            </w:r>
            <w:r w:rsidRPr="00AA7490">
              <w:rPr>
                <w:rFonts w:ascii="Times New Roman" w:hAnsi="Times New Roman" w:cs="Times New Roman"/>
                <w:sz w:val="20"/>
                <w:szCs w:val="20"/>
                <w:lang w:val="en-GB"/>
              </w:rPr>
              <w:t xml:space="preserve"> (5-</w:t>
            </w:r>
            <w:r>
              <w:rPr>
                <w:rFonts w:ascii="Times New Roman" w:hAnsi="Times New Roman" w:cs="Times New Roman"/>
                <w:sz w:val="20"/>
                <w:szCs w:val="20"/>
                <w:lang w:val="en-GB"/>
              </w:rPr>
              <w:t>year</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period</w:t>
            </w:r>
            <w:r w:rsidRPr="00AA7490">
              <w:rPr>
                <w:rFonts w:ascii="Times New Roman" w:hAnsi="Times New Roman" w:cs="Times New Roman"/>
                <w:sz w:val="20"/>
                <w:szCs w:val="20"/>
                <w:lang w:val="en-GB"/>
              </w:rPr>
              <w:t>)</w:t>
            </w:r>
          </w:p>
        </w:tc>
        <w:tc>
          <w:tcPr>
            <w:tcW w:w="3119" w:type="dxa"/>
          </w:tcPr>
          <w:p w14:paraId="482DFE07"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0,61/1000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p w14:paraId="27773D51"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0,14% </w:t>
            </w:r>
            <w:r>
              <w:rPr>
                <w:rFonts w:ascii="Times New Roman" w:hAnsi="Times New Roman" w:cs="Times New Roman"/>
                <w:sz w:val="20"/>
                <w:szCs w:val="20"/>
                <w:lang w:val="en-GB"/>
              </w:rPr>
              <w:t>of all</w:t>
            </w:r>
            <w:r w:rsidRPr="00AA7490">
              <w:rPr>
                <w:rFonts w:ascii="Times New Roman" w:hAnsi="Times New Roman" w:cs="Times New Roman"/>
                <w:sz w:val="20"/>
                <w:szCs w:val="20"/>
                <w:lang w:val="en-GB"/>
              </w:rPr>
              <w:t xml:space="preserve"> </w:t>
            </w:r>
            <w:r w:rsidRPr="00974169">
              <w:rPr>
                <w:rFonts w:ascii="Times New Roman" w:hAnsi="Times New Roman" w:cs="Times New Roman"/>
                <w:sz w:val="20"/>
                <w:szCs w:val="20"/>
                <w:lang w:val="en-GB"/>
              </w:rPr>
              <w:t>emergency visit</w:t>
            </w:r>
            <w:r>
              <w:rPr>
                <w:rFonts w:ascii="Times New Roman" w:hAnsi="Times New Roman" w:cs="Times New Roman"/>
                <w:sz w:val="20"/>
                <w:szCs w:val="20"/>
                <w:lang w:val="en-GB"/>
              </w:rPr>
              <w:t>s</w:t>
            </w:r>
            <w:r w:rsidRPr="00974169">
              <w:rPr>
                <w:rFonts w:ascii="Times New Roman" w:hAnsi="Times New Roman" w:cs="Times New Roman"/>
                <w:sz w:val="20"/>
                <w:szCs w:val="20"/>
                <w:lang w:val="en-GB"/>
              </w:rPr>
              <w:t xml:space="preserve"> </w:t>
            </w:r>
            <w:r>
              <w:rPr>
                <w:rFonts w:ascii="Times New Roman" w:hAnsi="Times New Roman" w:cs="Times New Roman"/>
                <w:sz w:val="20"/>
                <w:szCs w:val="20"/>
                <w:lang w:val="en-GB"/>
              </w:rPr>
              <w:t>children at age of</w:t>
            </w:r>
            <w:r w:rsidRPr="00AA7490">
              <w:rPr>
                <w:rFonts w:ascii="Times New Roman" w:hAnsi="Times New Roman" w:cs="Times New Roman"/>
                <w:sz w:val="20"/>
                <w:szCs w:val="20"/>
                <w:lang w:val="en-GB"/>
              </w:rPr>
              <w:t xml:space="preserve"> 0–14 </w:t>
            </w:r>
            <w:r>
              <w:rPr>
                <w:rFonts w:ascii="Times New Roman" w:hAnsi="Times New Roman" w:cs="Times New Roman"/>
                <w:sz w:val="20"/>
                <w:szCs w:val="20"/>
                <w:lang w:val="en-GB"/>
              </w:rPr>
              <w:t>years</w:t>
            </w:r>
          </w:p>
        </w:tc>
      </w:tr>
      <w:tr w:rsidR="005F6F9C" w:rsidRPr="00503B4D" w14:paraId="043FB812" w14:textId="77777777" w:rsidTr="00377796">
        <w:tc>
          <w:tcPr>
            <w:tcW w:w="1242" w:type="dxa"/>
          </w:tcPr>
          <w:p w14:paraId="2F723B1C"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[13]</w:t>
            </w:r>
          </w:p>
          <w:p w14:paraId="4C527757"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2012</w:t>
            </w:r>
          </w:p>
        </w:tc>
        <w:tc>
          <w:tcPr>
            <w:tcW w:w="1134" w:type="dxa"/>
          </w:tcPr>
          <w:p w14:paraId="12B91A1A"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USA</w:t>
            </w:r>
          </w:p>
        </w:tc>
        <w:tc>
          <w:tcPr>
            <w:tcW w:w="3969" w:type="dxa"/>
          </w:tcPr>
          <w:p w14:paraId="622B1496"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 cohort study</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20-months study</w:t>
            </w:r>
            <w:r w:rsidRPr="00AA7490">
              <w:rPr>
                <w:rFonts w:ascii="Times New Roman" w:hAnsi="Times New Roman" w:cs="Times New Roman"/>
                <w:sz w:val="20"/>
                <w:szCs w:val="20"/>
                <w:lang w:val="en-GB"/>
              </w:rPr>
              <w:t>)</w:t>
            </w:r>
          </w:p>
        </w:tc>
        <w:tc>
          <w:tcPr>
            <w:tcW w:w="3119" w:type="dxa"/>
          </w:tcPr>
          <w:p w14:paraId="29C1A0BA"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1% </w:t>
            </w:r>
            <w:r>
              <w:rPr>
                <w:rFonts w:ascii="Times New Roman" w:hAnsi="Times New Roman" w:cs="Times New Roman"/>
                <w:sz w:val="20"/>
                <w:szCs w:val="20"/>
                <w:lang w:val="en-GB"/>
              </w:rPr>
              <w:t>of all</w:t>
            </w:r>
            <w:r w:rsidRPr="00AA7490">
              <w:rPr>
                <w:rFonts w:ascii="Times New Roman" w:hAnsi="Times New Roman" w:cs="Times New Roman"/>
                <w:sz w:val="20"/>
                <w:szCs w:val="20"/>
                <w:lang w:val="en-GB"/>
              </w:rPr>
              <w:t xml:space="preserve"> </w:t>
            </w:r>
            <w:r w:rsidRPr="00974169">
              <w:rPr>
                <w:rFonts w:ascii="Times New Roman" w:hAnsi="Times New Roman" w:cs="Times New Roman"/>
                <w:sz w:val="20"/>
                <w:szCs w:val="20"/>
                <w:lang w:val="en-GB"/>
              </w:rPr>
              <w:t>emergency visit</w:t>
            </w:r>
            <w:r>
              <w:rPr>
                <w:rFonts w:ascii="Times New Roman" w:hAnsi="Times New Roman" w:cs="Times New Roman"/>
                <w:sz w:val="20"/>
                <w:szCs w:val="20"/>
                <w:lang w:val="en-GB"/>
              </w:rPr>
              <w:t>s</w:t>
            </w:r>
            <w:r w:rsidRPr="00974169">
              <w:rPr>
                <w:rFonts w:ascii="Times New Roman" w:hAnsi="Times New Roman" w:cs="Times New Roman"/>
                <w:sz w:val="20"/>
                <w:szCs w:val="20"/>
                <w:lang w:val="en-GB"/>
              </w:rPr>
              <w:t xml:space="preserve"> </w:t>
            </w:r>
            <w:r>
              <w:rPr>
                <w:rFonts w:ascii="Times New Roman" w:hAnsi="Times New Roman" w:cs="Times New Roman"/>
                <w:sz w:val="20"/>
                <w:szCs w:val="20"/>
                <w:lang w:val="en-GB"/>
              </w:rPr>
              <w:t>to</w:t>
            </w:r>
            <w:r w:rsidRPr="00AA7490">
              <w:rPr>
                <w:rFonts w:ascii="Times New Roman" w:hAnsi="Times New Roman" w:cs="Times New Roman"/>
                <w:sz w:val="20"/>
                <w:szCs w:val="20"/>
                <w:lang w:val="en-GB"/>
              </w:rPr>
              <w:t xml:space="preserve"> </w:t>
            </w:r>
            <w:r w:rsidRPr="00AC7087">
              <w:rPr>
                <w:rFonts w:ascii="Times New Roman" w:hAnsi="Times New Roman" w:cs="Times New Roman"/>
                <w:sz w:val="20"/>
                <w:szCs w:val="20"/>
                <w:lang w:val="en-GB"/>
              </w:rPr>
              <w:t>emergency department</w:t>
            </w:r>
          </w:p>
        </w:tc>
      </w:tr>
      <w:tr w:rsidR="005F6F9C" w:rsidRPr="00503B4D" w14:paraId="232F8ED8" w14:textId="77777777" w:rsidTr="00377796">
        <w:tc>
          <w:tcPr>
            <w:tcW w:w="1242" w:type="dxa"/>
          </w:tcPr>
          <w:p w14:paraId="1B853C5E"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[30] </w:t>
            </w:r>
          </w:p>
          <w:p w14:paraId="6169B3F8"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2013</w:t>
            </w:r>
          </w:p>
        </w:tc>
        <w:tc>
          <w:tcPr>
            <w:tcW w:w="1134" w:type="dxa"/>
          </w:tcPr>
          <w:p w14:paraId="2F2A186C"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Iran</w:t>
            </w:r>
          </w:p>
        </w:tc>
        <w:tc>
          <w:tcPr>
            <w:tcW w:w="3969" w:type="dxa"/>
          </w:tcPr>
          <w:p w14:paraId="7CF7AD37"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Prospective study</w:t>
            </w:r>
            <w:r w:rsidRPr="00AA7490">
              <w:rPr>
                <w:rFonts w:ascii="Times New Roman" w:hAnsi="Times New Roman" w:cs="Times New Roman"/>
                <w:sz w:val="20"/>
                <w:szCs w:val="20"/>
                <w:lang w:val="en-GB"/>
              </w:rPr>
              <w:t xml:space="preserve"> (11 </w:t>
            </w:r>
            <w:r>
              <w:rPr>
                <w:rFonts w:ascii="Times New Roman" w:hAnsi="Times New Roman" w:cs="Times New Roman"/>
                <w:sz w:val="20"/>
                <w:szCs w:val="20"/>
                <w:lang w:val="en-GB"/>
              </w:rPr>
              <w:t>months</w:t>
            </w:r>
            <w:r w:rsidRPr="00AA7490">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newborns</w:t>
            </w:r>
            <w:proofErr w:type="spellEnd"/>
            <w:r>
              <w:rPr>
                <w:rFonts w:ascii="Times New Roman" w:hAnsi="Times New Roman" w:cs="Times New Roman"/>
                <w:sz w:val="20"/>
                <w:szCs w:val="20"/>
                <w:lang w:val="en-GB"/>
              </w:rPr>
              <w:t xml:space="preserve"> with ALTE</w:t>
            </w:r>
            <w:r w:rsidRPr="00AA7490">
              <w:rPr>
                <w:rFonts w:ascii="Times New Roman" w:hAnsi="Times New Roman" w:cs="Times New Roman"/>
                <w:sz w:val="20"/>
                <w:szCs w:val="20"/>
                <w:lang w:val="en-GB"/>
              </w:rPr>
              <w:t>)</w:t>
            </w:r>
          </w:p>
        </w:tc>
        <w:tc>
          <w:tcPr>
            <w:tcW w:w="3119" w:type="dxa"/>
          </w:tcPr>
          <w:p w14:paraId="44BD09D8"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11 (1,1%) </w:t>
            </w:r>
            <w:r>
              <w:rPr>
                <w:rFonts w:ascii="Times New Roman" w:hAnsi="Times New Roman" w:cs="Times New Roman"/>
                <w:sz w:val="20"/>
                <w:szCs w:val="20"/>
                <w:lang w:val="en-GB"/>
              </w:rPr>
              <w:t>out of</w:t>
            </w:r>
            <w:r w:rsidRPr="00AA7490">
              <w:rPr>
                <w:rFonts w:ascii="Times New Roman" w:hAnsi="Times New Roman" w:cs="Times New Roman"/>
                <w:sz w:val="20"/>
                <w:szCs w:val="20"/>
                <w:lang w:val="en-GB"/>
              </w:rPr>
              <w:t xml:space="preserve"> 1000 </w:t>
            </w:r>
            <w:proofErr w:type="spellStart"/>
            <w:r>
              <w:rPr>
                <w:rFonts w:ascii="Times New Roman" w:hAnsi="Times New Roman" w:cs="Times New Roman"/>
                <w:sz w:val="20"/>
                <w:szCs w:val="20"/>
                <w:lang w:val="en-GB"/>
              </w:rPr>
              <w:t>newborns</w:t>
            </w:r>
            <w:proofErr w:type="spellEnd"/>
            <w:r w:rsidRPr="00AA7490">
              <w:rPr>
                <w:rFonts w:ascii="Times New Roman" w:hAnsi="Times New Roman" w:cs="Times New Roman"/>
                <w:sz w:val="20"/>
                <w:szCs w:val="20"/>
                <w:lang w:val="en-GB"/>
              </w:rPr>
              <w:t xml:space="preserve"> </w:t>
            </w:r>
            <w:r w:rsidRPr="00AC7087">
              <w:rPr>
                <w:rFonts w:ascii="Times New Roman" w:hAnsi="Times New Roman" w:cs="Times New Roman"/>
                <w:sz w:val="20"/>
                <w:szCs w:val="20"/>
                <w:lang w:val="en-GB"/>
              </w:rPr>
              <w:t>hospitalize</w:t>
            </w:r>
            <w:r>
              <w:rPr>
                <w:rFonts w:ascii="Times New Roman" w:hAnsi="Times New Roman" w:cs="Times New Roman"/>
                <w:sz w:val="20"/>
                <w:szCs w:val="20"/>
                <w:lang w:val="en-GB"/>
              </w:rPr>
              <w:t xml:space="preserve">d in </w:t>
            </w:r>
            <w:r w:rsidRPr="00AC7087">
              <w:rPr>
                <w:rFonts w:ascii="Times New Roman" w:hAnsi="Times New Roman" w:cs="Times New Roman"/>
                <w:sz w:val="20"/>
                <w:szCs w:val="20"/>
                <w:lang w:val="en-GB"/>
              </w:rPr>
              <w:t>emergency department</w:t>
            </w:r>
          </w:p>
        </w:tc>
      </w:tr>
      <w:tr w:rsidR="005F6F9C" w:rsidRPr="00AA7490" w14:paraId="4395694E" w14:textId="77777777" w:rsidTr="00377796">
        <w:tc>
          <w:tcPr>
            <w:tcW w:w="1242" w:type="dxa"/>
          </w:tcPr>
          <w:p w14:paraId="7287B31B"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[11]</w:t>
            </w:r>
          </w:p>
          <w:p w14:paraId="5AEF0D51"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2017</w:t>
            </w:r>
          </w:p>
        </w:tc>
        <w:tc>
          <w:tcPr>
            <w:tcW w:w="1134" w:type="dxa"/>
          </w:tcPr>
          <w:p w14:paraId="1FDEB5AB" w14:textId="77777777" w:rsidR="005F6F9C" w:rsidRPr="00AA7490" w:rsidDel="00C31211"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Italy</w:t>
            </w:r>
          </w:p>
        </w:tc>
        <w:tc>
          <w:tcPr>
            <w:tcW w:w="3969" w:type="dxa"/>
          </w:tcPr>
          <w:p w14:paraId="3DEC2169" w14:textId="77777777" w:rsidR="005F6F9C" w:rsidRPr="00AA7490" w:rsidRDefault="005F6F9C" w:rsidP="00377796">
            <w:pPr>
              <w:rPr>
                <w:rFonts w:ascii="Times New Roman" w:hAnsi="Times New Roman" w:cs="Times New Roman"/>
                <w:sz w:val="20"/>
                <w:szCs w:val="20"/>
                <w:lang w:val="en-GB"/>
              </w:rPr>
            </w:pPr>
            <w:r>
              <w:rPr>
                <w:rFonts w:ascii="Times New Roman" w:hAnsi="Times New Roman" w:cs="Times New Roman"/>
                <w:sz w:val="20"/>
                <w:szCs w:val="20"/>
                <w:lang w:val="en-GB"/>
              </w:rPr>
              <w:t>C</w:t>
            </w:r>
            <w:r w:rsidRPr="00974169">
              <w:rPr>
                <w:rFonts w:ascii="Times New Roman" w:hAnsi="Times New Roman" w:cs="Times New Roman"/>
                <w:sz w:val="20"/>
                <w:szCs w:val="20"/>
                <w:lang w:val="en-GB"/>
              </w:rPr>
              <w:t xml:space="preserve">ase cohort study </w:t>
            </w:r>
            <w:r w:rsidRPr="00AA7490">
              <w:rPr>
                <w:rFonts w:ascii="Times New Roman" w:hAnsi="Times New Roman" w:cs="Times New Roman"/>
                <w:sz w:val="20"/>
                <w:szCs w:val="20"/>
                <w:lang w:val="en-GB"/>
              </w:rPr>
              <w:t>(5-</w:t>
            </w:r>
            <w:r>
              <w:rPr>
                <w:rFonts w:ascii="Times New Roman" w:hAnsi="Times New Roman" w:cs="Times New Roman"/>
                <w:sz w:val="20"/>
                <w:szCs w:val="20"/>
                <w:lang w:val="en-GB"/>
              </w:rPr>
              <w:t>year</w:t>
            </w:r>
            <w:r w:rsidRPr="00AA7490">
              <w:rPr>
                <w:rFonts w:ascii="Times New Roman" w:hAnsi="Times New Roman" w:cs="Times New Roman"/>
                <w:sz w:val="20"/>
                <w:szCs w:val="20"/>
                <w:lang w:val="en-GB"/>
              </w:rPr>
              <w:t xml:space="preserve"> </w:t>
            </w:r>
            <w:r>
              <w:rPr>
                <w:rFonts w:ascii="Times New Roman" w:hAnsi="Times New Roman" w:cs="Times New Roman"/>
                <w:sz w:val="20"/>
                <w:szCs w:val="20"/>
                <w:lang w:val="en-GB"/>
              </w:rPr>
              <w:t>period</w:t>
            </w:r>
            <w:r w:rsidRPr="00AA7490">
              <w:rPr>
                <w:rFonts w:ascii="Times New Roman" w:hAnsi="Times New Roman" w:cs="Times New Roman"/>
                <w:sz w:val="20"/>
                <w:szCs w:val="20"/>
                <w:lang w:val="en-GB"/>
              </w:rPr>
              <w:t>)</w:t>
            </w:r>
          </w:p>
        </w:tc>
        <w:tc>
          <w:tcPr>
            <w:tcW w:w="3119" w:type="dxa"/>
          </w:tcPr>
          <w:p w14:paraId="26CA8D24" w14:textId="77777777" w:rsidR="005F6F9C" w:rsidRPr="00AA7490" w:rsidRDefault="005F6F9C" w:rsidP="00377796">
            <w:pPr>
              <w:rPr>
                <w:rFonts w:ascii="Times New Roman" w:hAnsi="Times New Roman" w:cs="Times New Roman"/>
                <w:sz w:val="20"/>
                <w:szCs w:val="20"/>
                <w:lang w:val="en-GB"/>
              </w:rPr>
            </w:pPr>
            <w:r w:rsidRPr="00AA7490">
              <w:rPr>
                <w:rFonts w:ascii="Times New Roman" w:hAnsi="Times New Roman" w:cs="Times New Roman"/>
                <w:sz w:val="20"/>
                <w:szCs w:val="20"/>
                <w:lang w:val="en-GB"/>
              </w:rPr>
              <w:t xml:space="preserve">4,1/1000 </w:t>
            </w:r>
            <w:r>
              <w:rPr>
                <w:rFonts w:ascii="Times New Roman" w:hAnsi="Times New Roman" w:cs="Times New Roman"/>
                <w:sz w:val="20"/>
                <w:szCs w:val="20"/>
                <w:lang w:val="en-GB"/>
              </w:rPr>
              <w:t>live-</w:t>
            </w:r>
            <w:proofErr w:type="spellStart"/>
            <w:r>
              <w:rPr>
                <w:rFonts w:ascii="Times New Roman" w:hAnsi="Times New Roman" w:cs="Times New Roman"/>
                <w:sz w:val="20"/>
                <w:szCs w:val="20"/>
                <w:lang w:val="en-GB"/>
              </w:rPr>
              <w:t>borns</w:t>
            </w:r>
            <w:proofErr w:type="spellEnd"/>
          </w:p>
        </w:tc>
      </w:tr>
    </w:tbl>
    <w:p w14:paraId="55F5BD43" w14:textId="77777777" w:rsidR="005F6F9C" w:rsidRPr="00D74627" w:rsidRDefault="005F6F9C" w:rsidP="005F6F9C">
      <w:pPr>
        <w:spacing w:after="0" w:line="240" w:lineRule="auto"/>
        <w:jc w:val="both"/>
        <w:rPr>
          <w:rFonts w:ascii="Times New Roman" w:hAnsi="Times New Roman" w:cs="Times New Roman"/>
          <w:szCs w:val="24"/>
          <w:lang w:val="en-US"/>
        </w:rPr>
      </w:pPr>
      <w:r w:rsidRPr="00D74627">
        <w:rPr>
          <w:rFonts w:ascii="Times New Roman" w:hAnsi="Times New Roman" w:cs="Times New Roman"/>
          <w:i/>
          <w:szCs w:val="24"/>
          <w:lang w:val="en-GB"/>
        </w:rPr>
        <w:t xml:space="preserve">Note. </w:t>
      </w:r>
      <w:proofErr w:type="gramStart"/>
      <w:r w:rsidRPr="00D74627">
        <w:rPr>
          <w:rFonts w:ascii="Times New Roman" w:hAnsi="Times New Roman" w:cs="Times New Roman"/>
          <w:szCs w:val="24"/>
          <w:lang w:val="en-GB"/>
        </w:rPr>
        <w:t>ALTE ― apparent life-threatening event.</w:t>
      </w:r>
      <w:proofErr w:type="gramEnd"/>
    </w:p>
    <w:p w14:paraId="4F6A8AB5" w14:textId="79C8B7D3" w:rsidR="005F6F9C" w:rsidRPr="00D74627" w:rsidRDefault="005F6F9C" w:rsidP="005F6F9C">
      <w:pPr>
        <w:spacing w:after="0" w:line="240" w:lineRule="auto"/>
        <w:jc w:val="both"/>
        <w:rPr>
          <w:rFonts w:ascii="Times New Roman" w:hAnsi="Times New Roman" w:cs="Times New Roman"/>
          <w:sz w:val="24"/>
          <w:szCs w:val="24"/>
        </w:rPr>
      </w:pPr>
      <w:bookmarkStart w:id="0" w:name="_GoBack"/>
      <w:bookmarkEnd w:id="0"/>
    </w:p>
    <w:p w14:paraId="603B23FD" w14:textId="77777777" w:rsidR="0040367D" w:rsidRPr="0040367D" w:rsidRDefault="0040367D" w:rsidP="0040367D">
      <w:pPr>
        <w:spacing w:after="0" w:line="240" w:lineRule="auto"/>
        <w:ind w:firstLine="709"/>
        <w:jc w:val="both"/>
        <w:rPr>
          <w:rFonts w:ascii="Times New Roman" w:hAnsi="Times New Roman" w:cs="Times New Roman"/>
          <w:b/>
          <w:sz w:val="24"/>
          <w:szCs w:val="24"/>
          <w:lang w:val="en-US"/>
        </w:rPr>
      </w:pPr>
      <w:r w:rsidRPr="0040367D">
        <w:rPr>
          <w:rFonts w:ascii="Times New Roman" w:hAnsi="Times New Roman" w:cs="Times New Roman"/>
          <w:b/>
          <w:sz w:val="24"/>
          <w:szCs w:val="24"/>
          <w:lang w:val="en-US"/>
        </w:rPr>
        <w:t>FINANCING SOURCE</w:t>
      </w:r>
    </w:p>
    <w:p w14:paraId="44D9EB5A" w14:textId="57E09B58" w:rsidR="00845D16" w:rsidRPr="0040367D" w:rsidRDefault="0040367D" w:rsidP="0040367D">
      <w:pPr>
        <w:spacing w:after="0" w:line="240" w:lineRule="auto"/>
        <w:ind w:firstLine="709"/>
        <w:jc w:val="both"/>
        <w:rPr>
          <w:rFonts w:ascii="Times New Roman" w:hAnsi="Times New Roman" w:cs="Times New Roman"/>
          <w:bCs/>
          <w:sz w:val="24"/>
          <w:szCs w:val="24"/>
          <w:lang w:val="en-US"/>
        </w:rPr>
      </w:pPr>
      <w:r w:rsidRPr="0040367D">
        <w:rPr>
          <w:rFonts w:ascii="Times New Roman" w:hAnsi="Times New Roman" w:cs="Times New Roman"/>
          <w:bCs/>
          <w:sz w:val="24"/>
          <w:szCs w:val="24"/>
          <w:lang w:val="en-US"/>
        </w:rPr>
        <w:t>Not specified.</w:t>
      </w:r>
    </w:p>
    <w:p w14:paraId="7726A845" w14:textId="77777777" w:rsidR="00E927F7" w:rsidRPr="0040367D" w:rsidRDefault="00E927F7" w:rsidP="003745F6">
      <w:pPr>
        <w:spacing w:after="0" w:line="240" w:lineRule="auto"/>
        <w:ind w:firstLine="709"/>
        <w:jc w:val="both"/>
        <w:rPr>
          <w:rFonts w:ascii="Times New Roman" w:hAnsi="Times New Roman" w:cs="Times New Roman"/>
          <w:sz w:val="24"/>
          <w:szCs w:val="24"/>
          <w:lang w:val="en-US"/>
        </w:rPr>
      </w:pPr>
    </w:p>
    <w:p w14:paraId="7C184A10" w14:textId="77777777" w:rsidR="0040367D" w:rsidRPr="0040367D" w:rsidRDefault="0040367D" w:rsidP="0040367D">
      <w:pPr>
        <w:spacing w:after="0" w:line="240" w:lineRule="auto"/>
        <w:ind w:firstLine="709"/>
        <w:jc w:val="both"/>
        <w:rPr>
          <w:rFonts w:ascii="Times New Roman" w:hAnsi="Times New Roman" w:cs="Times New Roman"/>
          <w:b/>
          <w:sz w:val="24"/>
          <w:szCs w:val="24"/>
          <w:lang w:val="en-US"/>
        </w:rPr>
      </w:pPr>
      <w:r w:rsidRPr="0040367D">
        <w:rPr>
          <w:rFonts w:ascii="Times New Roman" w:hAnsi="Times New Roman" w:cs="Times New Roman"/>
          <w:b/>
          <w:sz w:val="24"/>
          <w:szCs w:val="24"/>
          <w:lang w:val="en-US"/>
        </w:rPr>
        <w:t>CONFLICT OF INTEREST</w:t>
      </w:r>
    </w:p>
    <w:p w14:paraId="4ADE4CF6" w14:textId="1D04B834" w:rsidR="0040367D" w:rsidRPr="00D82915" w:rsidRDefault="002468C2" w:rsidP="0040367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N.N.</w:t>
      </w:r>
      <w:r w:rsidRPr="002468C2">
        <w:rPr>
          <w:rFonts w:ascii="Times New Roman" w:hAnsi="Times New Roman" w:cs="Times New Roman"/>
          <w:sz w:val="24"/>
          <w:szCs w:val="24"/>
          <w:lang w:val="en-US"/>
        </w:rPr>
        <w:t> </w:t>
      </w:r>
      <w:proofErr w:type="spellStart"/>
      <w:r w:rsidR="0040367D" w:rsidRPr="00D82915">
        <w:rPr>
          <w:rFonts w:ascii="Times New Roman" w:hAnsi="Times New Roman" w:cs="Times New Roman"/>
          <w:sz w:val="24"/>
          <w:szCs w:val="24"/>
          <w:lang w:val="en-US"/>
        </w:rPr>
        <w:t>Korableva</w:t>
      </w:r>
      <w:proofErr w:type="spellEnd"/>
      <w:r w:rsidR="0040367D" w:rsidRPr="00D82915">
        <w:rPr>
          <w:rFonts w:ascii="Times New Roman" w:hAnsi="Times New Roman" w:cs="Times New Roman"/>
          <w:sz w:val="24"/>
          <w:szCs w:val="24"/>
          <w:lang w:val="en-US"/>
        </w:rPr>
        <w:t xml:space="preserve"> received fees as a speaker (speaking at scientific and educational events), giving lectures </w:t>
      </w:r>
      <w:r w:rsidR="0040367D">
        <w:rPr>
          <w:rFonts w:ascii="Times New Roman" w:hAnsi="Times New Roman" w:cs="Times New Roman"/>
          <w:sz w:val="24"/>
          <w:szCs w:val="24"/>
          <w:lang w:val="en-US"/>
        </w:rPr>
        <w:t>on behalf of</w:t>
      </w:r>
      <w:r w:rsidR="0040367D" w:rsidRPr="00D82915">
        <w:rPr>
          <w:rFonts w:ascii="Times New Roman" w:hAnsi="Times New Roman" w:cs="Times New Roman"/>
          <w:sz w:val="24"/>
          <w:szCs w:val="24"/>
          <w:lang w:val="en-US"/>
        </w:rPr>
        <w:t xml:space="preserve"> Nestle Russia</w:t>
      </w:r>
      <w:r w:rsidR="0040367D">
        <w:rPr>
          <w:rFonts w:ascii="Times New Roman" w:hAnsi="Times New Roman" w:cs="Times New Roman"/>
          <w:sz w:val="24"/>
          <w:szCs w:val="24"/>
          <w:lang w:val="en-US"/>
        </w:rPr>
        <w:t xml:space="preserve">, NPF Materia </w:t>
      </w:r>
      <w:proofErr w:type="spellStart"/>
      <w:r w:rsidR="0040367D">
        <w:rPr>
          <w:rFonts w:ascii="Times New Roman" w:hAnsi="Times New Roman" w:cs="Times New Roman"/>
          <w:sz w:val="24"/>
          <w:szCs w:val="24"/>
          <w:lang w:val="en-US"/>
        </w:rPr>
        <w:t>Medica</w:t>
      </w:r>
      <w:proofErr w:type="spellEnd"/>
      <w:r w:rsidR="0040367D">
        <w:rPr>
          <w:rFonts w:ascii="Times New Roman" w:hAnsi="Times New Roman" w:cs="Times New Roman"/>
          <w:sz w:val="24"/>
          <w:szCs w:val="24"/>
          <w:lang w:val="en-US"/>
        </w:rPr>
        <w:t xml:space="preserve"> Holding</w:t>
      </w:r>
      <w:r w:rsidR="0040367D" w:rsidRPr="00D82915">
        <w:rPr>
          <w:rFonts w:ascii="Times New Roman" w:hAnsi="Times New Roman" w:cs="Times New Roman"/>
          <w:sz w:val="24"/>
          <w:szCs w:val="24"/>
          <w:lang w:val="en-US"/>
        </w:rPr>
        <w:t xml:space="preserve">, </w:t>
      </w:r>
      <w:proofErr w:type="gramStart"/>
      <w:r w:rsidR="0040367D" w:rsidRPr="00D82915">
        <w:rPr>
          <w:rFonts w:ascii="Times New Roman" w:hAnsi="Times New Roman" w:cs="Times New Roman"/>
          <w:sz w:val="24"/>
          <w:szCs w:val="24"/>
          <w:lang w:val="en-US"/>
        </w:rPr>
        <w:t>PFK</w:t>
      </w:r>
      <w:proofErr w:type="gramEnd"/>
      <w:r w:rsidR="0040367D" w:rsidRPr="00D82915">
        <w:rPr>
          <w:rFonts w:ascii="Times New Roman" w:hAnsi="Times New Roman" w:cs="Times New Roman"/>
          <w:sz w:val="24"/>
          <w:szCs w:val="24"/>
          <w:lang w:val="en-US"/>
        </w:rPr>
        <w:t xml:space="preserve"> </w:t>
      </w:r>
      <w:r w:rsidR="0040367D">
        <w:rPr>
          <w:rFonts w:ascii="Times New Roman" w:hAnsi="Times New Roman" w:cs="Times New Roman"/>
          <w:sz w:val="24"/>
          <w:szCs w:val="24"/>
          <w:lang w:val="en-US"/>
        </w:rPr>
        <w:t>Renewal</w:t>
      </w:r>
      <w:r w:rsidR="0040367D" w:rsidRPr="00D82915">
        <w:rPr>
          <w:rFonts w:ascii="Times New Roman" w:hAnsi="Times New Roman" w:cs="Times New Roman"/>
          <w:sz w:val="24"/>
          <w:szCs w:val="24"/>
          <w:lang w:val="en-US"/>
        </w:rPr>
        <w:t>.</w:t>
      </w:r>
    </w:p>
    <w:p w14:paraId="1FBDC5FB" w14:textId="45FF33E3" w:rsidR="005F6F9C" w:rsidRPr="002468C2" w:rsidRDefault="002468C2" w:rsidP="002468C2">
      <w:pPr>
        <w:ind w:firstLine="708"/>
        <w:jc w:val="both"/>
        <w:rPr>
          <w:rFonts w:ascii="Times New Roman" w:hAnsi="Times New Roman" w:cs="Times New Roman"/>
          <w:sz w:val="24"/>
          <w:lang w:val="en-US"/>
        </w:rPr>
      </w:pPr>
      <w:r w:rsidRPr="002468C2">
        <w:rPr>
          <w:rFonts w:ascii="Times New Roman" w:hAnsi="Times New Roman" w:cs="Times New Roman"/>
          <w:sz w:val="24"/>
          <w:lang w:val="en-GB"/>
        </w:rPr>
        <w:t>The other contributors confirmed the absence of a reportable conflict of interests.</w:t>
      </w:r>
    </w:p>
    <w:sectPr w:rsidR="005F6F9C" w:rsidRPr="002468C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50C56" w14:textId="77777777" w:rsidR="00AF445A" w:rsidRDefault="00AF445A" w:rsidP="00701B7C">
      <w:pPr>
        <w:spacing w:after="0" w:line="240" w:lineRule="auto"/>
      </w:pPr>
      <w:r>
        <w:separator/>
      </w:r>
    </w:p>
  </w:endnote>
  <w:endnote w:type="continuationSeparator" w:id="0">
    <w:p w14:paraId="1DC97938" w14:textId="77777777" w:rsidR="00AF445A" w:rsidRDefault="00AF445A" w:rsidP="0070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1150" w14:textId="77777777" w:rsidR="00EF61FA" w:rsidRDefault="00EF61F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9B03C" w14:textId="77777777" w:rsidR="00AF445A" w:rsidRDefault="00AF445A" w:rsidP="00701B7C">
      <w:pPr>
        <w:spacing w:after="0" w:line="240" w:lineRule="auto"/>
      </w:pPr>
      <w:r>
        <w:separator/>
      </w:r>
    </w:p>
  </w:footnote>
  <w:footnote w:type="continuationSeparator" w:id="0">
    <w:p w14:paraId="4D5AF2CC" w14:textId="77777777" w:rsidR="00AF445A" w:rsidRDefault="00AF445A" w:rsidP="00701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78"/>
    <w:multiLevelType w:val="hybridMultilevel"/>
    <w:tmpl w:val="AC442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F697A"/>
    <w:multiLevelType w:val="hybridMultilevel"/>
    <w:tmpl w:val="E68E72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BB390B"/>
    <w:multiLevelType w:val="multilevel"/>
    <w:tmpl w:val="0FEE6830"/>
    <w:lvl w:ilvl="0">
      <w:start w:val="18"/>
      <w:numFmt w:val="decimal"/>
      <w:lvlText w:val="%1"/>
      <w:lvlJc w:val="left"/>
      <w:pPr>
        <w:ind w:left="555" w:hanging="555"/>
      </w:pPr>
    </w:lvl>
    <w:lvl w:ilvl="1">
      <w:start w:val="25"/>
      <w:numFmt w:val="decimal"/>
      <w:lvlText w:val="%1-%2"/>
      <w:lvlJc w:val="left"/>
      <w:pPr>
        <w:ind w:left="1275" w:hanging="55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E381D3F"/>
    <w:multiLevelType w:val="hybridMultilevel"/>
    <w:tmpl w:val="110A25BE"/>
    <w:lvl w:ilvl="0" w:tplc="4A62E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777E25"/>
    <w:multiLevelType w:val="hybridMultilevel"/>
    <w:tmpl w:val="7214D042"/>
    <w:lvl w:ilvl="0" w:tplc="30021F4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221368"/>
    <w:multiLevelType w:val="hybridMultilevel"/>
    <w:tmpl w:val="8632A540"/>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70FAA"/>
    <w:multiLevelType w:val="hybridMultilevel"/>
    <w:tmpl w:val="354627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3D729CE"/>
    <w:multiLevelType w:val="hybridMultilevel"/>
    <w:tmpl w:val="693C78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3127BC"/>
    <w:multiLevelType w:val="hybridMultilevel"/>
    <w:tmpl w:val="4768B0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A973CC"/>
    <w:multiLevelType w:val="hybridMultilevel"/>
    <w:tmpl w:val="84CC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8903D4"/>
    <w:multiLevelType w:val="hybridMultilevel"/>
    <w:tmpl w:val="189C8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35B6C"/>
    <w:multiLevelType w:val="hybridMultilevel"/>
    <w:tmpl w:val="804424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5B34287"/>
    <w:multiLevelType w:val="hybridMultilevel"/>
    <w:tmpl w:val="CF78ADE2"/>
    <w:lvl w:ilvl="0" w:tplc="3BBE5F18">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C997760"/>
    <w:multiLevelType w:val="hybridMultilevel"/>
    <w:tmpl w:val="E17AB6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2D4EF9"/>
    <w:multiLevelType w:val="hybridMultilevel"/>
    <w:tmpl w:val="FAE4A2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0332AEB"/>
    <w:multiLevelType w:val="hybridMultilevel"/>
    <w:tmpl w:val="CA46660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A197358"/>
    <w:multiLevelType w:val="hybridMultilevel"/>
    <w:tmpl w:val="71E6F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350689"/>
    <w:multiLevelType w:val="hybridMultilevel"/>
    <w:tmpl w:val="C1E87886"/>
    <w:lvl w:ilvl="0" w:tplc="27E024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143C16"/>
    <w:multiLevelType w:val="hybridMultilevel"/>
    <w:tmpl w:val="B0FC5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D4689"/>
    <w:multiLevelType w:val="hybridMultilevel"/>
    <w:tmpl w:val="BBA40D6E"/>
    <w:lvl w:ilvl="0" w:tplc="425E85E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0"/>
  </w:num>
  <w:num w:numId="5">
    <w:abstractNumId w:val="4"/>
  </w:num>
  <w:num w:numId="6">
    <w:abstractNumId w:val="2"/>
    <w:lvlOverride w:ilvl="0">
      <w:startOverride w:val="1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5"/>
  </w:num>
  <w:num w:numId="10">
    <w:abstractNumId w:val="5"/>
  </w:num>
  <w:num w:numId="11">
    <w:abstractNumId w:val="7"/>
  </w:num>
  <w:num w:numId="12">
    <w:abstractNumId w:val="11"/>
  </w:num>
  <w:num w:numId="13">
    <w:abstractNumId w:val="14"/>
  </w:num>
  <w:num w:numId="14">
    <w:abstractNumId w:val="1"/>
  </w:num>
  <w:num w:numId="15">
    <w:abstractNumId w:val="19"/>
  </w:num>
  <w:num w:numId="16">
    <w:abstractNumId w:val="17"/>
  </w:num>
  <w:num w:numId="17">
    <w:abstractNumId w:val="6"/>
  </w:num>
  <w:num w:numId="18">
    <w:abstractNumId w:val="18"/>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59"/>
    <w:rsid w:val="0000234A"/>
    <w:rsid w:val="00003395"/>
    <w:rsid w:val="00010214"/>
    <w:rsid w:val="000116B0"/>
    <w:rsid w:val="000150C3"/>
    <w:rsid w:val="0002009A"/>
    <w:rsid w:val="0002111C"/>
    <w:rsid w:val="00024B44"/>
    <w:rsid w:val="000314E4"/>
    <w:rsid w:val="00032F66"/>
    <w:rsid w:val="00042DB2"/>
    <w:rsid w:val="0004328E"/>
    <w:rsid w:val="00044587"/>
    <w:rsid w:val="0004466A"/>
    <w:rsid w:val="00047701"/>
    <w:rsid w:val="00054DE2"/>
    <w:rsid w:val="000609F6"/>
    <w:rsid w:val="00062FA2"/>
    <w:rsid w:val="00065AE4"/>
    <w:rsid w:val="000766EA"/>
    <w:rsid w:val="00077283"/>
    <w:rsid w:val="00077642"/>
    <w:rsid w:val="00077E46"/>
    <w:rsid w:val="00080CEC"/>
    <w:rsid w:val="0008115C"/>
    <w:rsid w:val="00082626"/>
    <w:rsid w:val="00082BD0"/>
    <w:rsid w:val="0008556A"/>
    <w:rsid w:val="00085FCE"/>
    <w:rsid w:val="00094274"/>
    <w:rsid w:val="00094E7E"/>
    <w:rsid w:val="00095B6D"/>
    <w:rsid w:val="00095BD4"/>
    <w:rsid w:val="00096F83"/>
    <w:rsid w:val="00097671"/>
    <w:rsid w:val="000B5CA6"/>
    <w:rsid w:val="000B6267"/>
    <w:rsid w:val="000C79F8"/>
    <w:rsid w:val="000D4C28"/>
    <w:rsid w:val="000D61FB"/>
    <w:rsid w:val="000E3576"/>
    <w:rsid w:val="000E42A6"/>
    <w:rsid w:val="000E5AB9"/>
    <w:rsid w:val="000E610A"/>
    <w:rsid w:val="000E7237"/>
    <w:rsid w:val="000F4BEC"/>
    <w:rsid w:val="000F4E4C"/>
    <w:rsid w:val="000F5D8E"/>
    <w:rsid w:val="000F66BF"/>
    <w:rsid w:val="000F7FD8"/>
    <w:rsid w:val="00101E7E"/>
    <w:rsid w:val="00102EB4"/>
    <w:rsid w:val="00111FC6"/>
    <w:rsid w:val="0011238E"/>
    <w:rsid w:val="001123C6"/>
    <w:rsid w:val="00115A15"/>
    <w:rsid w:val="00116274"/>
    <w:rsid w:val="00120AFA"/>
    <w:rsid w:val="00122602"/>
    <w:rsid w:val="00127E44"/>
    <w:rsid w:val="00136EAF"/>
    <w:rsid w:val="00137858"/>
    <w:rsid w:val="0015187B"/>
    <w:rsid w:val="0015220D"/>
    <w:rsid w:val="001542A5"/>
    <w:rsid w:val="00160DCA"/>
    <w:rsid w:val="00162D19"/>
    <w:rsid w:val="00164DFA"/>
    <w:rsid w:val="00165810"/>
    <w:rsid w:val="00170AF2"/>
    <w:rsid w:val="001734B9"/>
    <w:rsid w:val="00174D77"/>
    <w:rsid w:val="00177B63"/>
    <w:rsid w:val="00183728"/>
    <w:rsid w:val="0018709B"/>
    <w:rsid w:val="0019040C"/>
    <w:rsid w:val="00192842"/>
    <w:rsid w:val="00197843"/>
    <w:rsid w:val="001A49FD"/>
    <w:rsid w:val="001A73BA"/>
    <w:rsid w:val="001B0DAB"/>
    <w:rsid w:val="001C0347"/>
    <w:rsid w:val="001C0FDD"/>
    <w:rsid w:val="001C1708"/>
    <w:rsid w:val="001C6D83"/>
    <w:rsid w:val="001C7A33"/>
    <w:rsid w:val="001C7D13"/>
    <w:rsid w:val="001D0C16"/>
    <w:rsid w:val="001D3F81"/>
    <w:rsid w:val="001E1715"/>
    <w:rsid w:val="001E50BC"/>
    <w:rsid w:val="001E6084"/>
    <w:rsid w:val="001F26AA"/>
    <w:rsid w:val="001F4B6A"/>
    <w:rsid w:val="001F73F4"/>
    <w:rsid w:val="002031EB"/>
    <w:rsid w:val="00206533"/>
    <w:rsid w:val="00206831"/>
    <w:rsid w:val="00206BD0"/>
    <w:rsid w:val="00212229"/>
    <w:rsid w:val="00213046"/>
    <w:rsid w:val="00223DB9"/>
    <w:rsid w:val="00230D6B"/>
    <w:rsid w:val="0024256E"/>
    <w:rsid w:val="002457F5"/>
    <w:rsid w:val="002468C2"/>
    <w:rsid w:val="0024690A"/>
    <w:rsid w:val="00250619"/>
    <w:rsid w:val="00252D7D"/>
    <w:rsid w:val="0025343D"/>
    <w:rsid w:val="00253B00"/>
    <w:rsid w:val="00255680"/>
    <w:rsid w:val="00256444"/>
    <w:rsid w:val="002618A3"/>
    <w:rsid w:val="002630B5"/>
    <w:rsid w:val="00272C67"/>
    <w:rsid w:val="00272D22"/>
    <w:rsid w:val="0028020B"/>
    <w:rsid w:val="00282D09"/>
    <w:rsid w:val="00283A42"/>
    <w:rsid w:val="0028491B"/>
    <w:rsid w:val="00292EBF"/>
    <w:rsid w:val="002945BF"/>
    <w:rsid w:val="0029581D"/>
    <w:rsid w:val="002A5614"/>
    <w:rsid w:val="002A5863"/>
    <w:rsid w:val="002A62F7"/>
    <w:rsid w:val="002C47D0"/>
    <w:rsid w:val="002C4CA1"/>
    <w:rsid w:val="002D40BE"/>
    <w:rsid w:val="002F23D8"/>
    <w:rsid w:val="00301321"/>
    <w:rsid w:val="00301B2F"/>
    <w:rsid w:val="00303C34"/>
    <w:rsid w:val="00304702"/>
    <w:rsid w:val="0031188E"/>
    <w:rsid w:val="00313ABD"/>
    <w:rsid w:val="00320B91"/>
    <w:rsid w:val="003320B6"/>
    <w:rsid w:val="00343690"/>
    <w:rsid w:val="003524DC"/>
    <w:rsid w:val="00352A59"/>
    <w:rsid w:val="00353A5A"/>
    <w:rsid w:val="00355040"/>
    <w:rsid w:val="00363D32"/>
    <w:rsid w:val="00371880"/>
    <w:rsid w:val="00371A76"/>
    <w:rsid w:val="00373E70"/>
    <w:rsid w:val="003745F6"/>
    <w:rsid w:val="00376C74"/>
    <w:rsid w:val="0038061E"/>
    <w:rsid w:val="003834B8"/>
    <w:rsid w:val="00390B39"/>
    <w:rsid w:val="00393D49"/>
    <w:rsid w:val="003A2571"/>
    <w:rsid w:val="003A4BAD"/>
    <w:rsid w:val="003B2F76"/>
    <w:rsid w:val="003C1CFC"/>
    <w:rsid w:val="003C26EE"/>
    <w:rsid w:val="003C3D9B"/>
    <w:rsid w:val="003C65B1"/>
    <w:rsid w:val="003D1E32"/>
    <w:rsid w:val="003D4966"/>
    <w:rsid w:val="003E74DC"/>
    <w:rsid w:val="003F1B8A"/>
    <w:rsid w:val="003F2086"/>
    <w:rsid w:val="003F2B8F"/>
    <w:rsid w:val="003F3B1D"/>
    <w:rsid w:val="0040367D"/>
    <w:rsid w:val="004043C0"/>
    <w:rsid w:val="00404B0C"/>
    <w:rsid w:val="00405446"/>
    <w:rsid w:val="00413B70"/>
    <w:rsid w:val="00414B74"/>
    <w:rsid w:val="00415A81"/>
    <w:rsid w:val="00421FD5"/>
    <w:rsid w:val="00426812"/>
    <w:rsid w:val="00430C28"/>
    <w:rsid w:val="00430C2B"/>
    <w:rsid w:val="00432C92"/>
    <w:rsid w:val="00433C72"/>
    <w:rsid w:val="0043437A"/>
    <w:rsid w:val="00434D21"/>
    <w:rsid w:val="00436DF1"/>
    <w:rsid w:val="004376F8"/>
    <w:rsid w:val="004402F8"/>
    <w:rsid w:val="0044316B"/>
    <w:rsid w:val="00444431"/>
    <w:rsid w:val="0044601D"/>
    <w:rsid w:val="0046192D"/>
    <w:rsid w:val="00461EEF"/>
    <w:rsid w:val="00466FDB"/>
    <w:rsid w:val="00471FC1"/>
    <w:rsid w:val="00480F5B"/>
    <w:rsid w:val="00483E53"/>
    <w:rsid w:val="00492D5E"/>
    <w:rsid w:val="004966D6"/>
    <w:rsid w:val="004A0207"/>
    <w:rsid w:val="004A1E3E"/>
    <w:rsid w:val="004A6707"/>
    <w:rsid w:val="004B3AD0"/>
    <w:rsid w:val="004B4392"/>
    <w:rsid w:val="004B5224"/>
    <w:rsid w:val="004B7AFA"/>
    <w:rsid w:val="004C13C7"/>
    <w:rsid w:val="004C5041"/>
    <w:rsid w:val="004C51FE"/>
    <w:rsid w:val="004D1AE5"/>
    <w:rsid w:val="004D32FB"/>
    <w:rsid w:val="004D3D25"/>
    <w:rsid w:val="004E132A"/>
    <w:rsid w:val="004E1595"/>
    <w:rsid w:val="004E3EEF"/>
    <w:rsid w:val="004F219D"/>
    <w:rsid w:val="004F268A"/>
    <w:rsid w:val="004F3EA6"/>
    <w:rsid w:val="004F4068"/>
    <w:rsid w:val="004F42C0"/>
    <w:rsid w:val="004F4D2E"/>
    <w:rsid w:val="004F5C92"/>
    <w:rsid w:val="004F797D"/>
    <w:rsid w:val="005043E7"/>
    <w:rsid w:val="005055A4"/>
    <w:rsid w:val="00505B86"/>
    <w:rsid w:val="00506E40"/>
    <w:rsid w:val="00514796"/>
    <w:rsid w:val="00523A41"/>
    <w:rsid w:val="005300BF"/>
    <w:rsid w:val="0054614F"/>
    <w:rsid w:val="00547C4A"/>
    <w:rsid w:val="00551F0B"/>
    <w:rsid w:val="00555EE3"/>
    <w:rsid w:val="005567CE"/>
    <w:rsid w:val="00556D06"/>
    <w:rsid w:val="005606A4"/>
    <w:rsid w:val="00564405"/>
    <w:rsid w:val="0057739B"/>
    <w:rsid w:val="00577D12"/>
    <w:rsid w:val="005803EF"/>
    <w:rsid w:val="005848BA"/>
    <w:rsid w:val="00586B1F"/>
    <w:rsid w:val="00592A53"/>
    <w:rsid w:val="00594FA2"/>
    <w:rsid w:val="00595694"/>
    <w:rsid w:val="00595B52"/>
    <w:rsid w:val="00596AC2"/>
    <w:rsid w:val="00597F31"/>
    <w:rsid w:val="005A1D4E"/>
    <w:rsid w:val="005A7A42"/>
    <w:rsid w:val="005B1196"/>
    <w:rsid w:val="005B2B8E"/>
    <w:rsid w:val="005B3C12"/>
    <w:rsid w:val="005B45CB"/>
    <w:rsid w:val="005C2AF3"/>
    <w:rsid w:val="005C5312"/>
    <w:rsid w:val="005C5E55"/>
    <w:rsid w:val="005C7C75"/>
    <w:rsid w:val="005E098C"/>
    <w:rsid w:val="005E20F5"/>
    <w:rsid w:val="005E211F"/>
    <w:rsid w:val="005E5D8F"/>
    <w:rsid w:val="005F2CFB"/>
    <w:rsid w:val="005F6F9C"/>
    <w:rsid w:val="00610E87"/>
    <w:rsid w:val="00612EDE"/>
    <w:rsid w:val="00614A2F"/>
    <w:rsid w:val="00615CA4"/>
    <w:rsid w:val="00622618"/>
    <w:rsid w:val="006315EC"/>
    <w:rsid w:val="0063503D"/>
    <w:rsid w:val="00636593"/>
    <w:rsid w:val="00637BB4"/>
    <w:rsid w:val="0064448D"/>
    <w:rsid w:val="00646CE7"/>
    <w:rsid w:val="006509DD"/>
    <w:rsid w:val="0065163B"/>
    <w:rsid w:val="00651F6D"/>
    <w:rsid w:val="00655552"/>
    <w:rsid w:val="00655A70"/>
    <w:rsid w:val="00655E81"/>
    <w:rsid w:val="00656567"/>
    <w:rsid w:val="006574D3"/>
    <w:rsid w:val="00662B6F"/>
    <w:rsid w:val="00673DB8"/>
    <w:rsid w:val="00677059"/>
    <w:rsid w:val="00677454"/>
    <w:rsid w:val="00681344"/>
    <w:rsid w:val="00681C2C"/>
    <w:rsid w:val="00697AAF"/>
    <w:rsid w:val="006A48FF"/>
    <w:rsid w:val="006A62AA"/>
    <w:rsid w:val="006B0C3B"/>
    <w:rsid w:val="006B5080"/>
    <w:rsid w:val="006C1340"/>
    <w:rsid w:val="006D1F83"/>
    <w:rsid w:val="006D252B"/>
    <w:rsid w:val="006D539E"/>
    <w:rsid w:val="006D78D5"/>
    <w:rsid w:val="006F384A"/>
    <w:rsid w:val="00701011"/>
    <w:rsid w:val="00701B7C"/>
    <w:rsid w:val="007037E6"/>
    <w:rsid w:val="00706ACF"/>
    <w:rsid w:val="00707C1A"/>
    <w:rsid w:val="00711574"/>
    <w:rsid w:val="00724799"/>
    <w:rsid w:val="0073318B"/>
    <w:rsid w:val="00734514"/>
    <w:rsid w:val="00737EDD"/>
    <w:rsid w:val="0074525E"/>
    <w:rsid w:val="00750BC9"/>
    <w:rsid w:val="00751817"/>
    <w:rsid w:val="00755AF2"/>
    <w:rsid w:val="00756BF0"/>
    <w:rsid w:val="007623E8"/>
    <w:rsid w:val="007647B7"/>
    <w:rsid w:val="00777C43"/>
    <w:rsid w:val="0078147E"/>
    <w:rsid w:val="00783BAA"/>
    <w:rsid w:val="00785075"/>
    <w:rsid w:val="0078737F"/>
    <w:rsid w:val="00787F63"/>
    <w:rsid w:val="00790D54"/>
    <w:rsid w:val="00791002"/>
    <w:rsid w:val="007962EC"/>
    <w:rsid w:val="0079729F"/>
    <w:rsid w:val="007A0F9E"/>
    <w:rsid w:val="007A37D8"/>
    <w:rsid w:val="007A56A3"/>
    <w:rsid w:val="007A5E0E"/>
    <w:rsid w:val="007A7931"/>
    <w:rsid w:val="007A7974"/>
    <w:rsid w:val="007A7D27"/>
    <w:rsid w:val="007B03C5"/>
    <w:rsid w:val="007B077D"/>
    <w:rsid w:val="007B1178"/>
    <w:rsid w:val="007B3EF1"/>
    <w:rsid w:val="007B483F"/>
    <w:rsid w:val="007B5A04"/>
    <w:rsid w:val="007B6B6B"/>
    <w:rsid w:val="007C590F"/>
    <w:rsid w:val="007D59BE"/>
    <w:rsid w:val="007E0ED0"/>
    <w:rsid w:val="007F48F2"/>
    <w:rsid w:val="0080159E"/>
    <w:rsid w:val="00803B62"/>
    <w:rsid w:val="00813EBD"/>
    <w:rsid w:val="00820A91"/>
    <w:rsid w:val="008345E7"/>
    <w:rsid w:val="008352FD"/>
    <w:rsid w:val="00836488"/>
    <w:rsid w:val="00836661"/>
    <w:rsid w:val="00837176"/>
    <w:rsid w:val="00842CA1"/>
    <w:rsid w:val="00845D16"/>
    <w:rsid w:val="00847E75"/>
    <w:rsid w:val="008524E6"/>
    <w:rsid w:val="00852D4C"/>
    <w:rsid w:val="00854978"/>
    <w:rsid w:val="008550AF"/>
    <w:rsid w:val="008603F8"/>
    <w:rsid w:val="00860917"/>
    <w:rsid w:val="0086243E"/>
    <w:rsid w:val="00870309"/>
    <w:rsid w:val="00874C79"/>
    <w:rsid w:val="00886B40"/>
    <w:rsid w:val="0089064A"/>
    <w:rsid w:val="008A6FBD"/>
    <w:rsid w:val="008B1C2C"/>
    <w:rsid w:val="008B2B30"/>
    <w:rsid w:val="008C1A5C"/>
    <w:rsid w:val="008C70CC"/>
    <w:rsid w:val="008D61A6"/>
    <w:rsid w:val="008D632F"/>
    <w:rsid w:val="008E111D"/>
    <w:rsid w:val="008E5187"/>
    <w:rsid w:val="008F034B"/>
    <w:rsid w:val="008F0ACC"/>
    <w:rsid w:val="008F3359"/>
    <w:rsid w:val="00902327"/>
    <w:rsid w:val="00904E47"/>
    <w:rsid w:val="00905BFC"/>
    <w:rsid w:val="00910E5F"/>
    <w:rsid w:val="009132F9"/>
    <w:rsid w:val="0092230B"/>
    <w:rsid w:val="00922CDA"/>
    <w:rsid w:val="00930735"/>
    <w:rsid w:val="00931326"/>
    <w:rsid w:val="009351B7"/>
    <w:rsid w:val="009356C6"/>
    <w:rsid w:val="00936EAF"/>
    <w:rsid w:val="009403E4"/>
    <w:rsid w:val="00942214"/>
    <w:rsid w:val="00955B9A"/>
    <w:rsid w:val="009571CE"/>
    <w:rsid w:val="00961509"/>
    <w:rsid w:val="00961C83"/>
    <w:rsid w:val="0097025C"/>
    <w:rsid w:val="009725B4"/>
    <w:rsid w:val="00972799"/>
    <w:rsid w:val="00977F43"/>
    <w:rsid w:val="00980665"/>
    <w:rsid w:val="00983244"/>
    <w:rsid w:val="009873AE"/>
    <w:rsid w:val="009875DE"/>
    <w:rsid w:val="0099044C"/>
    <w:rsid w:val="00991175"/>
    <w:rsid w:val="00996E73"/>
    <w:rsid w:val="009A2924"/>
    <w:rsid w:val="009A2EC1"/>
    <w:rsid w:val="009A73F4"/>
    <w:rsid w:val="009A7407"/>
    <w:rsid w:val="009B09F4"/>
    <w:rsid w:val="009B4D23"/>
    <w:rsid w:val="009B79D8"/>
    <w:rsid w:val="009C5ABA"/>
    <w:rsid w:val="009D0B02"/>
    <w:rsid w:val="009D1AF1"/>
    <w:rsid w:val="009D7E81"/>
    <w:rsid w:val="009E1B6D"/>
    <w:rsid w:val="009E57ED"/>
    <w:rsid w:val="009F1364"/>
    <w:rsid w:val="00A10C35"/>
    <w:rsid w:val="00A111BB"/>
    <w:rsid w:val="00A12478"/>
    <w:rsid w:val="00A12696"/>
    <w:rsid w:val="00A12A1D"/>
    <w:rsid w:val="00A144AE"/>
    <w:rsid w:val="00A14721"/>
    <w:rsid w:val="00A150AD"/>
    <w:rsid w:val="00A16425"/>
    <w:rsid w:val="00A26BAE"/>
    <w:rsid w:val="00A30A72"/>
    <w:rsid w:val="00A31C6E"/>
    <w:rsid w:val="00A31F72"/>
    <w:rsid w:val="00A342DE"/>
    <w:rsid w:val="00A34C6E"/>
    <w:rsid w:val="00A37DE0"/>
    <w:rsid w:val="00A41054"/>
    <w:rsid w:val="00A45B2A"/>
    <w:rsid w:val="00A45CE4"/>
    <w:rsid w:val="00A461F6"/>
    <w:rsid w:val="00A52459"/>
    <w:rsid w:val="00A558F8"/>
    <w:rsid w:val="00A55925"/>
    <w:rsid w:val="00A61E6A"/>
    <w:rsid w:val="00A649DE"/>
    <w:rsid w:val="00A66DF2"/>
    <w:rsid w:val="00A75352"/>
    <w:rsid w:val="00A7597A"/>
    <w:rsid w:val="00A84FAB"/>
    <w:rsid w:val="00A8780C"/>
    <w:rsid w:val="00AA3379"/>
    <w:rsid w:val="00AA3E70"/>
    <w:rsid w:val="00AA445D"/>
    <w:rsid w:val="00AA4C9A"/>
    <w:rsid w:val="00AA7D23"/>
    <w:rsid w:val="00AB174B"/>
    <w:rsid w:val="00AB30C8"/>
    <w:rsid w:val="00AC0532"/>
    <w:rsid w:val="00AC2CBB"/>
    <w:rsid w:val="00AC561C"/>
    <w:rsid w:val="00AC79CF"/>
    <w:rsid w:val="00AC7BE6"/>
    <w:rsid w:val="00AD4A90"/>
    <w:rsid w:val="00AD5BFE"/>
    <w:rsid w:val="00AE63E6"/>
    <w:rsid w:val="00AF445A"/>
    <w:rsid w:val="00B01082"/>
    <w:rsid w:val="00B01EF9"/>
    <w:rsid w:val="00B07A7A"/>
    <w:rsid w:val="00B10991"/>
    <w:rsid w:val="00B110A5"/>
    <w:rsid w:val="00B12B9E"/>
    <w:rsid w:val="00B17F41"/>
    <w:rsid w:val="00B21859"/>
    <w:rsid w:val="00B21889"/>
    <w:rsid w:val="00B33FF5"/>
    <w:rsid w:val="00B40223"/>
    <w:rsid w:val="00B4038E"/>
    <w:rsid w:val="00B4480F"/>
    <w:rsid w:val="00B4522F"/>
    <w:rsid w:val="00B45F78"/>
    <w:rsid w:val="00B47C93"/>
    <w:rsid w:val="00B50AA4"/>
    <w:rsid w:val="00B53871"/>
    <w:rsid w:val="00B53DB8"/>
    <w:rsid w:val="00B55831"/>
    <w:rsid w:val="00B60881"/>
    <w:rsid w:val="00B64EB8"/>
    <w:rsid w:val="00B669EA"/>
    <w:rsid w:val="00B67937"/>
    <w:rsid w:val="00B725CA"/>
    <w:rsid w:val="00B73B51"/>
    <w:rsid w:val="00B74AD5"/>
    <w:rsid w:val="00B779ED"/>
    <w:rsid w:val="00B77F7D"/>
    <w:rsid w:val="00B80427"/>
    <w:rsid w:val="00B84B0F"/>
    <w:rsid w:val="00B862DC"/>
    <w:rsid w:val="00B934E7"/>
    <w:rsid w:val="00B94FFB"/>
    <w:rsid w:val="00BB3C91"/>
    <w:rsid w:val="00BB7365"/>
    <w:rsid w:val="00BC0D1D"/>
    <w:rsid w:val="00BC2769"/>
    <w:rsid w:val="00BC2C6C"/>
    <w:rsid w:val="00BC4965"/>
    <w:rsid w:val="00BE514D"/>
    <w:rsid w:val="00BE76EA"/>
    <w:rsid w:val="00BE7C5E"/>
    <w:rsid w:val="00BF0CB1"/>
    <w:rsid w:val="00BF1649"/>
    <w:rsid w:val="00BF59F8"/>
    <w:rsid w:val="00C1007E"/>
    <w:rsid w:val="00C10756"/>
    <w:rsid w:val="00C11479"/>
    <w:rsid w:val="00C12256"/>
    <w:rsid w:val="00C222B8"/>
    <w:rsid w:val="00C31211"/>
    <w:rsid w:val="00C33704"/>
    <w:rsid w:val="00C34A9A"/>
    <w:rsid w:val="00C3537C"/>
    <w:rsid w:val="00C354C6"/>
    <w:rsid w:val="00C37959"/>
    <w:rsid w:val="00C419C1"/>
    <w:rsid w:val="00C4349A"/>
    <w:rsid w:val="00C4432A"/>
    <w:rsid w:val="00C459B6"/>
    <w:rsid w:val="00C46F54"/>
    <w:rsid w:val="00C50B61"/>
    <w:rsid w:val="00C516A2"/>
    <w:rsid w:val="00C51F7D"/>
    <w:rsid w:val="00C55D29"/>
    <w:rsid w:val="00C57BD7"/>
    <w:rsid w:val="00C62754"/>
    <w:rsid w:val="00C63976"/>
    <w:rsid w:val="00C7080E"/>
    <w:rsid w:val="00C75844"/>
    <w:rsid w:val="00C8482E"/>
    <w:rsid w:val="00C85FF2"/>
    <w:rsid w:val="00C969EE"/>
    <w:rsid w:val="00C97988"/>
    <w:rsid w:val="00CA21FD"/>
    <w:rsid w:val="00CA2975"/>
    <w:rsid w:val="00CA2B64"/>
    <w:rsid w:val="00CA2E97"/>
    <w:rsid w:val="00CA5BD9"/>
    <w:rsid w:val="00CB25A2"/>
    <w:rsid w:val="00CB3AFE"/>
    <w:rsid w:val="00CB57DC"/>
    <w:rsid w:val="00CC57E5"/>
    <w:rsid w:val="00CC59A3"/>
    <w:rsid w:val="00CC5A77"/>
    <w:rsid w:val="00CE0D22"/>
    <w:rsid w:val="00CE6AA1"/>
    <w:rsid w:val="00CF3D4E"/>
    <w:rsid w:val="00CF5E81"/>
    <w:rsid w:val="00D020E6"/>
    <w:rsid w:val="00D120CE"/>
    <w:rsid w:val="00D125F5"/>
    <w:rsid w:val="00D1382F"/>
    <w:rsid w:val="00D2636F"/>
    <w:rsid w:val="00D26841"/>
    <w:rsid w:val="00D305AB"/>
    <w:rsid w:val="00D37612"/>
    <w:rsid w:val="00D405AE"/>
    <w:rsid w:val="00D438D0"/>
    <w:rsid w:val="00D55B66"/>
    <w:rsid w:val="00D610F1"/>
    <w:rsid w:val="00D616A0"/>
    <w:rsid w:val="00D62957"/>
    <w:rsid w:val="00D650C7"/>
    <w:rsid w:val="00D65A30"/>
    <w:rsid w:val="00D66470"/>
    <w:rsid w:val="00D66FD2"/>
    <w:rsid w:val="00D70D1C"/>
    <w:rsid w:val="00D74627"/>
    <w:rsid w:val="00D76726"/>
    <w:rsid w:val="00D81B3E"/>
    <w:rsid w:val="00D8246E"/>
    <w:rsid w:val="00D941E0"/>
    <w:rsid w:val="00D97F68"/>
    <w:rsid w:val="00DA78FF"/>
    <w:rsid w:val="00DB0188"/>
    <w:rsid w:val="00DB12AB"/>
    <w:rsid w:val="00DB7B5B"/>
    <w:rsid w:val="00DC4E08"/>
    <w:rsid w:val="00DD198B"/>
    <w:rsid w:val="00DD2EB2"/>
    <w:rsid w:val="00DD5136"/>
    <w:rsid w:val="00DE1F48"/>
    <w:rsid w:val="00DE267D"/>
    <w:rsid w:val="00DE7B6C"/>
    <w:rsid w:val="00DF2FF7"/>
    <w:rsid w:val="00E035CF"/>
    <w:rsid w:val="00E041CC"/>
    <w:rsid w:val="00E0662F"/>
    <w:rsid w:val="00E07EDD"/>
    <w:rsid w:val="00E11F34"/>
    <w:rsid w:val="00E13262"/>
    <w:rsid w:val="00E220A8"/>
    <w:rsid w:val="00E23B49"/>
    <w:rsid w:val="00E274E6"/>
    <w:rsid w:val="00E32C62"/>
    <w:rsid w:val="00E404CC"/>
    <w:rsid w:val="00E40E69"/>
    <w:rsid w:val="00E4354A"/>
    <w:rsid w:val="00E46DAC"/>
    <w:rsid w:val="00E47831"/>
    <w:rsid w:val="00E61F39"/>
    <w:rsid w:val="00E67591"/>
    <w:rsid w:val="00E70194"/>
    <w:rsid w:val="00E702A6"/>
    <w:rsid w:val="00E704F7"/>
    <w:rsid w:val="00E77BD2"/>
    <w:rsid w:val="00E80B13"/>
    <w:rsid w:val="00E87230"/>
    <w:rsid w:val="00E90C17"/>
    <w:rsid w:val="00E91A13"/>
    <w:rsid w:val="00E927F7"/>
    <w:rsid w:val="00E92D62"/>
    <w:rsid w:val="00E96037"/>
    <w:rsid w:val="00EA17ED"/>
    <w:rsid w:val="00EA7D5D"/>
    <w:rsid w:val="00EB4251"/>
    <w:rsid w:val="00EB42DC"/>
    <w:rsid w:val="00EB459B"/>
    <w:rsid w:val="00EC7F8B"/>
    <w:rsid w:val="00ED2504"/>
    <w:rsid w:val="00ED51B2"/>
    <w:rsid w:val="00EE075D"/>
    <w:rsid w:val="00EE1E93"/>
    <w:rsid w:val="00EE6781"/>
    <w:rsid w:val="00EE7C2E"/>
    <w:rsid w:val="00EF03B6"/>
    <w:rsid w:val="00EF0A56"/>
    <w:rsid w:val="00EF0BE0"/>
    <w:rsid w:val="00EF1859"/>
    <w:rsid w:val="00EF61FA"/>
    <w:rsid w:val="00EF6E66"/>
    <w:rsid w:val="00F00CF6"/>
    <w:rsid w:val="00F034F9"/>
    <w:rsid w:val="00F079C0"/>
    <w:rsid w:val="00F176A2"/>
    <w:rsid w:val="00F255F5"/>
    <w:rsid w:val="00F419F1"/>
    <w:rsid w:val="00F440E0"/>
    <w:rsid w:val="00F44687"/>
    <w:rsid w:val="00F47AA6"/>
    <w:rsid w:val="00F50659"/>
    <w:rsid w:val="00F54EEA"/>
    <w:rsid w:val="00F55AB0"/>
    <w:rsid w:val="00F6310E"/>
    <w:rsid w:val="00F632EA"/>
    <w:rsid w:val="00F635C1"/>
    <w:rsid w:val="00F65D57"/>
    <w:rsid w:val="00F667C0"/>
    <w:rsid w:val="00F71364"/>
    <w:rsid w:val="00F73E43"/>
    <w:rsid w:val="00F75D60"/>
    <w:rsid w:val="00F8071E"/>
    <w:rsid w:val="00F8169B"/>
    <w:rsid w:val="00F81B84"/>
    <w:rsid w:val="00F953AD"/>
    <w:rsid w:val="00FA15D3"/>
    <w:rsid w:val="00FA3530"/>
    <w:rsid w:val="00FA3593"/>
    <w:rsid w:val="00FA6F28"/>
    <w:rsid w:val="00FA76CA"/>
    <w:rsid w:val="00FC0D57"/>
    <w:rsid w:val="00FC28C8"/>
    <w:rsid w:val="00FC3708"/>
    <w:rsid w:val="00FD4256"/>
    <w:rsid w:val="00FE443E"/>
    <w:rsid w:val="00FE5244"/>
    <w:rsid w:val="00FE675F"/>
    <w:rsid w:val="00FF2773"/>
    <w:rsid w:val="00FF308F"/>
    <w:rsid w:val="00FF51A7"/>
    <w:rsid w:val="00FF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7F31"/>
    <w:rPr>
      <w:color w:val="0563C1" w:themeColor="hyperlink"/>
      <w:u w:val="single"/>
    </w:rPr>
  </w:style>
  <w:style w:type="table" w:styleId="a4">
    <w:name w:val="Table Grid"/>
    <w:basedOn w:val="a1"/>
    <w:uiPriority w:val="39"/>
    <w:rsid w:val="0092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nhideWhenUsed/>
    <w:rsid w:val="00FC3708"/>
    <w:pPr>
      <w:spacing w:after="0" w:line="240" w:lineRule="auto"/>
    </w:pPr>
    <w:rPr>
      <w:rFonts w:ascii="Times New Roman" w:eastAsia="MS Mincho" w:hAnsi="Times New Roman" w:cs="Times New Roman"/>
      <w:sz w:val="20"/>
      <w:szCs w:val="20"/>
      <w:lang w:eastAsia="ja-JP"/>
    </w:rPr>
  </w:style>
  <w:style w:type="character" w:customStyle="1" w:styleId="a6">
    <w:name w:val="Текст примечания Знак"/>
    <w:basedOn w:val="a0"/>
    <w:link w:val="a5"/>
    <w:rsid w:val="00FC3708"/>
    <w:rPr>
      <w:rFonts w:ascii="Times New Roman" w:eastAsia="MS Mincho" w:hAnsi="Times New Roman" w:cs="Times New Roman"/>
      <w:sz w:val="20"/>
      <w:szCs w:val="20"/>
      <w:lang w:eastAsia="ja-JP"/>
    </w:rPr>
  </w:style>
  <w:style w:type="character" w:styleId="a7">
    <w:name w:val="annotation reference"/>
    <w:basedOn w:val="a0"/>
    <w:semiHidden/>
    <w:unhideWhenUsed/>
    <w:rsid w:val="00FC3708"/>
    <w:rPr>
      <w:sz w:val="16"/>
      <w:szCs w:val="16"/>
    </w:rPr>
  </w:style>
  <w:style w:type="paragraph" w:styleId="a8">
    <w:name w:val="List Paragraph"/>
    <w:basedOn w:val="a"/>
    <w:uiPriority w:val="34"/>
    <w:qFormat/>
    <w:rsid w:val="00206533"/>
    <w:pPr>
      <w:ind w:left="720"/>
      <w:contextualSpacing/>
    </w:pPr>
  </w:style>
  <w:style w:type="character" w:styleId="a9">
    <w:name w:val="Placeholder Text"/>
    <w:basedOn w:val="a0"/>
    <w:uiPriority w:val="99"/>
    <w:semiHidden/>
    <w:rsid w:val="00E47831"/>
    <w:rPr>
      <w:color w:val="808080"/>
    </w:rPr>
  </w:style>
  <w:style w:type="paragraph" w:styleId="aa">
    <w:name w:val="Balloon Text"/>
    <w:basedOn w:val="a"/>
    <w:link w:val="ab"/>
    <w:uiPriority w:val="99"/>
    <w:semiHidden/>
    <w:unhideWhenUsed/>
    <w:rsid w:val="004B5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5224"/>
    <w:rPr>
      <w:rFonts w:ascii="Segoe UI" w:hAnsi="Segoe UI" w:cs="Segoe UI"/>
      <w:sz w:val="18"/>
      <w:szCs w:val="18"/>
    </w:rPr>
  </w:style>
  <w:style w:type="paragraph" w:styleId="ac">
    <w:name w:val="header"/>
    <w:basedOn w:val="a"/>
    <w:link w:val="ad"/>
    <w:uiPriority w:val="99"/>
    <w:unhideWhenUsed/>
    <w:rsid w:val="00701B7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01B7C"/>
  </w:style>
  <w:style w:type="paragraph" w:styleId="ae">
    <w:name w:val="footer"/>
    <w:basedOn w:val="a"/>
    <w:link w:val="af"/>
    <w:uiPriority w:val="99"/>
    <w:unhideWhenUsed/>
    <w:rsid w:val="00701B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1B7C"/>
  </w:style>
  <w:style w:type="character" w:styleId="af0">
    <w:name w:val="FollowedHyperlink"/>
    <w:basedOn w:val="a0"/>
    <w:uiPriority w:val="99"/>
    <w:semiHidden/>
    <w:unhideWhenUsed/>
    <w:rsid w:val="00047701"/>
    <w:rPr>
      <w:color w:val="954F72" w:themeColor="followedHyperlink"/>
      <w:u w:val="single"/>
    </w:rPr>
  </w:style>
  <w:style w:type="paragraph" w:styleId="af1">
    <w:name w:val="annotation subject"/>
    <w:basedOn w:val="a5"/>
    <w:next w:val="a5"/>
    <w:link w:val="af2"/>
    <w:uiPriority w:val="99"/>
    <w:semiHidden/>
    <w:unhideWhenUsed/>
    <w:rsid w:val="003F3B1D"/>
    <w:pPr>
      <w:spacing w:after="160"/>
    </w:pPr>
    <w:rPr>
      <w:rFonts w:asciiTheme="minorHAnsi" w:eastAsiaTheme="minorHAnsi" w:hAnsiTheme="minorHAnsi" w:cstheme="minorBidi"/>
      <w:b/>
      <w:bCs/>
      <w:lang w:eastAsia="en-US"/>
    </w:rPr>
  </w:style>
  <w:style w:type="character" w:customStyle="1" w:styleId="af2">
    <w:name w:val="Тема примечания Знак"/>
    <w:basedOn w:val="a6"/>
    <w:link w:val="af1"/>
    <w:uiPriority w:val="99"/>
    <w:semiHidden/>
    <w:rsid w:val="003F3B1D"/>
    <w:rPr>
      <w:rFonts w:ascii="Times New Roman" w:eastAsia="MS Mincho" w:hAnsi="Times New Roman" w:cs="Times New Roman"/>
      <w:b/>
      <w:bCs/>
      <w:sz w:val="20"/>
      <w:szCs w:val="20"/>
      <w:lang w:eastAsia="ja-JP"/>
    </w:rPr>
  </w:style>
  <w:style w:type="paragraph" w:styleId="af3">
    <w:name w:val="Revision"/>
    <w:hidden/>
    <w:uiPriority w:val="99"/>
    <w:semiHidden/>
    <w:rsid w:val="00283A42"/>
    <w:pPr>
      <w:spacing w:after="0" w:line="240" w:lineRule="auto"/>
    </w:pPr>
  </w:style>
  <w:style w:type="paragraph" w:styleId="af4">
    <w:name w:val="No Spacing"/>
    <w:uiPriority w:val="1"/>
    <w:qFormat/>
    <w:rsid w:val="004D32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7F31"/>
    <w:rPr>
      <w:color w:val="0563C1" w:themeColor="hyperlink"/>
      <w:u w:val="single"/>
    </w:rPr>
  </w:style>
  <w:style w:type="table" w:styleId="a4">
    <w:name w:val="Table Grid"/>
    <w:basedOn w:val="a1"/>
    <w:uiPriority w:val="39"/>
    <w:rsid w:val="0092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nhideWhenUsed/>
    <w:rsid w:val="00FC3708"/>
    <w:pPr>
      <w:spacing w:after="0" w:line="240" w:lineRule="auto"/>
    </w:pPr>
    <w:rPr>
      <w:rFonts w:ascii="Times New Roman" w:eastAsia="MS Mincho" w:hAnsi="Times New Roman" w:cs="Times New Roman"/>
      <w:sz w:val="20"/>
      <w:szCs w:val="20"/>
      <w:lang w:eastAsia="ja-JP"/>
    </w:rPr>
  </w:style>
  <w:style w:type="character" w:customStyle="1" w:styleId="a6">
    <w:name w:val="Текст примечания Знак"/>
    <w:basedOn w:val="a0"/>
    <w:link w:val="a5"/>
    <w:rsid w:val="00FC3708"/>
    <w:rPr>
      <w:rFonts w:ascii="Times New Roman" w:eastAsia="MS Mincho" w:hAnsi="Times New Roman" w:cs="Times New Roman"/>
      <w:sz w:val="20"/>
      <w:szCs w:val="20"/>
      <w:lang w:eastAsia="ja-JP"/>
    </w:rPr>
  </w:style>
  <w:style w:type="character" w:styleId="a7">
    <w:name w:val="annotation reference"/>
    <w:basedOn w:val="a0"/>
    <w:semiHidden/>
    <w:unhideWhenUsed/>
    <w:rsid w:val="00FC3708"/>
    <w:rPr>
      <w:sz w:val="16"/>
      <w:szCs w:val="16"/>
    </w:rPr>
  </w:style>
  <w:style w:type="paragraph" w:styleId="a8">
    <w:name w:val="List Paragraph"/>
    <w:basedOn w:val="a"/>
    <w:uiPriority w:val="34"/>
    <w:qFormat/>
    <w:rsid w:val="00206533"/>
    <w:pPr>
      <w:ind w:left="720"/>
      <w:contextualSpacing/>
    </w:pPr>
  </w:style>
  <w:style w:type="character" w:styleId="a9">
    <w:name w:val="Placeholder Text"/>
    <w:basedOn w:val="a0"/>
    <w:uiPriority w:val="99"/>
    <w:semiHidden/>
    <w:rsid w:val="00E47831"/>
    <w:rPr>
      <w:color w:val="808080"/>
    </w:rPr>
  </w:style>
  <w:style w:type="paragraph" w:styleId="aa">
    <w:name w:val="Balloon Text"/>
    <w:basedOn w:val="a"/>
    <w:link w:val="ab"/>
    <w:uiPriority w:val="99"/>
    <w:semiHidden/>
    <w:unhideWhenUsed/>
    <w:rsid w:val="004B5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5224"/>
    <w:rPr>
      <w:rFonts w:ascii="Segoe UI" w:hAnsi="Segoe UI" w:cs="Segoe UI"/>
      <w:sz w:val="18"/>
      <w:szCs w:val="18"/>
    </w:rPr>
  </w:style>
  <w:style w:type="paragraph" w:styleId="ac">
    <w:name w:val="header"/>
    <w:basedOn w:val="a"/>
    <w:link w:val="ad"/>
    <w:uiPriority w:val="99"/>
    <w:unhideWhenUsed/>
    <w:rsid w:val="00701B7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01B7C"/>
  </w:style>
  <w:style w:type="paragraph" w:styleId="ae">
    <w:name w:val="footer"/>
    <w:basedOn w:val="a"/>
    <w:link w:val="af"/>
    <w:uiPriority w:val="99"/>
    <w:unhideWhenUsed/>
    <w:rsid w:val="00701B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1B7C"/>
  </w:style>
  <w:style w:type="character" w:styleId="af0">
    <w:name w:val="FollowedHyperlink"/>
    <w:basedOn w:val="a0"/>
    <w:uiPriority w:val="99"/>
    <w:semiHidden/>
    <w:unhideWhenUsed/>
    <w:rsid w:val="00047701"/>
    <w:rPr>
      <w:color w:val="954F72" w:themeColor="followedHyperlink"/>
      <w:u w:val="single"/>
    </w:rPr>
  </w:style>
  <w:style w:type="paragraph" w:styleId="af1">
    <w:name w:val="annotation subject"/>
    <w:basedOn w:val="a5"/>
    <w:next w:val="a5"/>
    <w:link w:val="af2"/>
    <w:uiPriority w:val="99"/>
    <w:semiHidden/>
    <w:unhideWhenUsed/>
    <w:rsid w:val="003F3B1D"/>
    <w:pPr>
      <w:spacing w:after="160"/>
    </w:pPr>
    <w:rPr>
      <w:rFonts w:asciiTheme="minorHAnsi" w:eastAsiaTheme="minorHAnsi" w:hAnsiTheme="minorHAnsi" w:cstheme="minorBidi"/>
      <w:b/>
      <w:bCs/>
      <w:lang w:eastAsia="en-US"/>
    </w:rPr>
  </w:style>
  <w:style w:type="character" w:customStyle="1" w:styleId="af2">
    <w:name w:val="Тема примечания Знак"/>
    <w:basedOn w:val="a6"/>
    <w:link w:val="af1"/>
    <w:uiPriority w:val="99"/>
    <w:semiHidden/>
    <w:rsid w:val="003F3B1D"/>
    <w:rPr>
      <w:rFonts w:ascii="Times New Roman" w:eastAsia="MS Mincho" w:hAnsi="Times New Roman" w:cs="Times New Roman"/>
      <w:b/>
      <w:bCs/>
      <w:sz w:val="20"/>
      <w:szCs w:val="20"/>
      <w:lang w:eastAsia="ja-JP"/>
    </w:rPr>
  </w:style>
  <w:style w:type="paragraph" w:styleId="af3">
    <w:name w:val="Revision"/>
    <w:hidden/>
    <w:uiPriority w:val="99"/>
    <w:semiHidden/>
    <w:rsid w:val="00283A42"/>
    <w:pPr>
      <w:spacing w:after="0" w:line="240" w:lineRule="auto"/>
    </w:pPr>
  </w:style>
  <w:style w:type="paragraph" w:styleId="af4">
    <w:name w:val="No Spacing"/>
    <w:uiPriority w:val="1"/>
    <w:qFormat/>
    <w:rsid w:val="004D3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8404">
      <w:bodyDiv w:val="1"/>
      <w:marLeft w:val="0"/>
      <w:marRight w:val="0"/>
      <w:marTop w:val="0"/>
      <w:marBottom w:val="0"/>
      <w:divBdr>
        <w:top w:val="none" w:sz="0" w:space="0" w:color="auto"/>
        <w:left w:val="none" w:sz="0" w:space="0" w:color="auto"/>
        <w:bottom w:val="none" w:sz="0" w:space="0" w:color="auto"/>
        <w:right w:val="none" w:sz="0" w:space="0" w:color="auto"/>
      </w:divBdr>
    </w:div>
    <w:div w:id="77672820">
      <w:bodyDiv w:val="1"/>
      <w:marLeft w:val="0"/>
      <w:marRight w:val="0"/>
      <w:marTop w:val="0"/>
      <w:marBottom w:val="0"/>
      <w:divBdr>
        <w:top w:val="none" w:sz="0" w:space="0" w:color="auto"/>
        <w:left w:val="none" w:sz="0" w:space="0" w:color="auto"/>
        <w:bottom w:val="none" w:sz="0" w:space="0" w:color="auto"/>
        <w:right w:val="none" w:sz="0" w:space="0" w:color="auto"/>
      </w:divBdr>
    </w:div>
    <w:div w:id="114638295">
      <w:bodyDiv w:val="1"/>
      <w:marLeft w:val="0"/>
      <w:marRight w:val="0"/>
      <w:marTop w:val="0"/>
      <w:marBottom w:val="0"/>
      <w:divBdr>
        <w:top w:val="none" w:sz="0" w:space="0" w:color="auto"/>
        <w:left w:val="none" w:sz="0" w:space="0" w:color="auto"/>
        <w:bottom w:val="none" w:sz="0" w:space="0" w:color="auto"/>
        <w:right w:val="none" w:sz="0" w:space="0" w:color="auto"/>
      </w:divBdr>
    </w:div>
    <w:div w:id="140315983">
      <w:bodyDiv w:val="1"/>
      <w:marLeft w:val="0"/>
      <w:marRight w:val="0"/>
      <w:marTop w:val="0"/>
      <w:marBottom w:val="0"/>
      <w:divBdr>
        <w:top w:val="none" w:sz="0" w:space="0" w:color="auto"/>
        <w:left w:val="none" w:sz="0" w:space="0" w:color="auto"/>
        <w:bottom w:val="none" w:sz="0" w:space="0" w:color="auto"/>
        <w:right w:val="none" w:sz="0" w:space="0" w:color="auto"/>
      </w:divBdr>
    </w:div>
    <w:div w:id="222758474">
      <w:bodyDiv w:val="1"/>
      <w:marLeft w:val="0"/>
      <w:marRight w:val="0"/>
      <w:marTop w:val="0"/>
      <w:marBottom w:val="0"/>
      <w:divBdr>
        <w:top w:val="none" w:sz="0" w:space="0" w:color="auto"/>
        <w:left w:val="none" w:sz="0" w:space="0" w:color="auto"/>
        <w:bottom w:val="none" w:sz="0" w:space="0" w:color="auto"/>
        <w:right w:val="none" w:sz="0" w:space="0" w:color="auto"/>
      </w:divBdr>
    </w:div>
    <w:div w:id="339351162">
      <w:bodyDiv w:val="1"/>
      <w:marLeft w:val="0"/>
      <w:marRight w:val="0"/>
      <w:marTop w:val="0"/>
      <w:marBottom w:val="0"/>
      <w:divBdr>
        <w:top w:val="none" w:sz="0" w:space="0" w:color="auto"/>
        <w:left w:val="none" w:sz="0" w:space="0" w:color="auto"/>
        <w:bottom w:val="none" w:sz="0" w:space="0" w:color="auto"/>
        <w:right w:val="none" w:sz="0" w:space="0" w:color="auto"/>
      </w:divBdr>
    </w:div>
    <w:div w:id="371200217">
      <w:bodyDiv w:val="1"/>
      <w:marLeft w:val="0"/>
      <w:marRight w:val="0"/>
      <w:marTop w:val="0"/>
      <w:marBottom w:val="0"/>
      <w:divBdr>
        <w:top w:val="none" w:sz="0" w:space="0" w:color="auto"/>
        <w:left w:val="none" w:sz="0" w:space="0" w:color="auto"/>
        <w:bottom w:val="none" w:sz="0" w:space="0" w:color="auto"/>
        <w:right w:val="none" w:sz="0" w:space="0" w:color="auto"/>
      </w:divBdr>
    </w:div>
    <w:div w:id="379789694">
      <w:bodyDiv w:val="1"/>
      <w:marLeft w:val="0"/>
      <w:marRight w:val="0"/>
      <w:marTop w:val="0"/>
      <w:marBottom w:val="0"/>
      <w:divBdr>
        <w:top w:val="none" w:sz="0" w:space="0" w:color="auto"/>
        <w:left w:val="none" w:sz="0" w:space="0" w:color="auto"/>
        <w:bottom w:val="none" w:sz="0" w:space="0" w:color="auto"/>
        <w:right w:val="none" w:sz="0" w:space="0" w:color="auto"/>
      </w:divBdr>
    </w:div>
    <w:div w:id="409351304">
      <w:bodyDiv w:val="1"/>
      <w:marLeft w:val="0"/>
      <w:marRight w:val="0"/>
      <w:marTop w:val="0"/>
      <w:marBottom w:val="0"/>
      <w:divBdr>
        <w:top w:val="none" w:sz="0" w:space="0" w:color="auto"/>
        <w:left w:val="none" w:sz="0" w:space="0" w:color="auto"/>
        <w:bottom w:val="none" w:sz="0" w:space="0" w:color="auto"/>
        <w:right w:val="none" w:sz="0" w:space="0" w:color="auto"/>
      </w:divBdr>
    </w:div>
    <w:div w:id="419256012">
      <w:bodyDiv w:val="1"/>
      <w:marLeft w:val="0"/>
      <w:marRight w:val="0"/>
      <w:marTop w:val="0"/>
      <w:marBottom w:val="0"/>
      <w:divBdr>
        <w:top w:val="none" w:sz="0" w:space="0" w:color="auto"/>
        <w:left w:val="none" w:sz="0" w:space="0" w:color="auto"/>
        <w:bottom w:val="none" w:sz="0" w:space="0" w:color="auto"/>
        <w:right w:val="none" w:sz="0" w:space="0" w:color="auto"/>
      </w:divBdr>
    </w:div>
    <w:div w:id="452216056">
      <w:bodyDiv w:val="1"/>
      <w:marLeft w:val="0"/>
      <w:marRight w:val="0"/>
      <w:marTop w:val="0"/>
      <w:marBottom w:val="0"/>
      <w:divBdr>
        <w:top w:val="none" w:sz="0" w:space="0" w:color="auto"/>
        <w:left w:val="none" w:sz="0" w:space="0" w:color="auto"/>
        <w:bottom w:val="none" w:sz="0" w:space="0" w:color="auto"/>
        <w:right w:val="none" w:sz="0" w:space="0" w:color="auto"/>
      </w:divBdr>
    </w:div>
    <w:div w:id="471990417">
      <w:bodyDiv w:val="1"/>
      <w:marLeft w:val="0"/>
      <w:marRight w:val="0"/>
      <w:marTop w:val="0"/>
      <w:marBottom w:val="0"/>
      <w:divBdr>
        <w:top w:val="none" w:sz="0" w:space="0" w:color="auto"/>
        <w:left w:val="none" w:sz="0" w:space="0" w:color="auto"/>
        <w:bottom w:val="none" w:sz="0" w:space="0" w:color="auto"/>
        <w:right w:val="none" w:sz="0" w:space="0" w:color="auto"/>
      </w:divBdr>
    </w:div>
    <w:div w:id="549731537">
      <w:bodyDiv w:val="1"/>
      <w:marLeft w:val="0"/>
      <w:marRight w:val="0"/>
      <w:marTop w:val="0"/>
      <w:marBottom w:val="0"/>
      <w:divBdr>
        <w:top w:val="none" w:sz="0" w:space="0" w:color="auto"/>
        <w:left w:val="none" w:sz="0" w:space="0" w:color="auto"/>
        <w:bottom w:val="none" w:sz="0" w:space="0" w:color="auto"/>
        <w:right w:val="none" w:sz="0" w:space="0" w:color="auto"/>
      </w:divBdr>
    </w:div>
    <w:div w:id="578054132">
      <w:bodyDiv w:val="1"/>
      <w:marLeft w:val="0"/>
      <w:marRight w:val="0"/>
      <w:marTop w:val="0"/>
      <w:marBottom w:val="0"/>
      <w:divBdr>
        <w:top w:val="none" w:sz="0" w:space="0" w:color="auto"/>
        <w:left w:val="none" w:sz="0" w:space="0" w:color="auto"/>
        <w:bottom w:val="none" w:sz="0" w:space="0" w:color="auto"/>
        <w:right w:val="none" w:sz="0" w:space="0" w:color="auto"/>
      </w:divBdr>
    </w:div>
    <w:div w:id="696006273">
      <w:bodyDiv w:val="1"/>
      <w:marLeft w:val="0"/>
      <w:marRight w:val="0"/>
      <w:marTop w:val="0"/>
      <w:marBottom w:val="0"/>
      <w:divBdr>
        <w:top w:val="none" w:sz="0" w:space="0" w:color="auto"/>
        <w:left w:val="none" w:sz="0" w:space="0" w:color="auto"/>
        <w:bottom w:val="none" w:sz="0" w:space="0" w:color="auto"/>
        <w:right w:val="none" w:sz="0" w:space="0" w:color="auto"/>
      </w:divBdr>
    </w:div>
    <w:div w:id="709916343">
      <w:bodyDiv w:val="1"/>
      <w:marLeft w:val="0"/>
      <w:marRight w:val="0"/>
      <w:marTop w:val="0"/>
      <w:marBottom w:val="0"/>
      <w:divBdr>
        <w:top w:val="none" w:sz="0" w:space="0" w:color="auto"/>
        <w:left w:val="none" w:sz="0" w:space="0" w:color="auto"/>
        <w:bottom w:val="none" w:sz="0" w:space="0" w:color="auto"/>
        <w:right w:val="none" w:sz="0" w:space="0" w:color="auto"/>
      </w:divBdr>
    </w:div>
    <w:div w:id="723723420">
      <w:bodyDiv w:val="1"/>
      <w:marLeft w:val="0"/>
      <w:marRight w:val="0"/>
      <w:marTop w:val="0"/>
      <w:marBottom w:val="0"/>
      <w:divBdr>
        <w:top w:val="none" w:sz="0" w:space="0" w:color="auto"/>
        <w:left w:val="none" w:sz="0" w:space="0" w:color="auto"/>
        <w:bottom w:val="none" w:sz="0" w:space="0" w:color="auto"/>
        <w:right w:val="none" w:sz="0" w:space="0" w:color="auto"/>
      </w:divBdr>
    </w:div>
    <w:div w:id="751509105">
      <w:bodyDiv w:val="1"/>
      <w:marLeft w:val="0"/>
      <w:marRight w:val="0"/>
      <w:marTop w:val="0"/>
      <w:marBottom w:val="0"/>
      <w:divBdr>
        <w:top w:val="none" w:sz="0" w:space="0" w:color="auto"/>
        <w:left w:val="none" w:sz="0" w:space="0" w:color="auto"/>
        <w:bottom w:val="none" w:sz="0" w:space="0" w:color="auto"/>
        <w:right w:val="none" w:sz="0" w:space="0" w:color="auto"/>
      </w:divBdr>
    </w:div>
    <w:div w:id="756832272">
      <w:bodyDiv w:val="1"/>
      <w:marLeft w:val="0"/>
      <w:marRight w:val="0"/>
      <w:marTop w:val="0"/>
      <w:marBottom w:val="0"/>
      <w:divBdr>
        <w:top w:val="none" w:sz="0" w:space="0" w:color="auto"/>
        <w:left w:val="none" w:sz="0" w:space="0" w:color="auto"/>
        <w:bottom w:val="none" w:sz="0" w:space="0" w:color="auto"/>
        <w:right w:val="none" w:sz="0" w:space="0" w:color="auto"/>
      </w:divBdr>
    </w:div>
    <w:div w:id="795300099">
      <w:bodyDiv w:val="1"/>
      <w:marLeft w:val="0"/>
      <w:marRight w:val="0"/>
      <w:marTop w:val="0"/>
      <w:marBottom w:val="0"/>
      <w:divBdr>
        <w:top w:val="none" w:sz="0" w:space="0" w:color="auto"/>
        <w:left w:val="none" w:sz="0" w:space="0" w:color="auto"/>
        <w:bottom w:val="none" w:sz="0" w:space="0" w:color="auto"/>
        <w:right w:val="none" w:sz="0" w:space="0" w:color="auto"/>
      </w:divBdr>
    </w:div>
    <w:div w:id="807359973">
      <w:bodyDiv w:val="1"/>
      <w:marLeft w:val="0"/>
      <w:marRight w:val="0"/>
      <w:marTop w:val="0"/>
      <w:marBottom w:val="0"/>
      <w:divBdr>
        <w:top w:val="none" w:sz="0" w:space="0" w:color="auto"/>
        <w:left w:val="none" w:sz="0" w:space="0" w:color="auto"/>
        <w:bottom w:val="none" w:sz="0" w:space="0" w:color="auto"/>
        <w:right w:val="none" w:sz="0" w:space="0" w:color="auto"/>
      </w:divBdr>
    </w:div>
    <w:div w:id="815995401">
      <w:bodyDiv w:val="1"/>
      <w:marLeft w:val="0"/>
      <w:marRight w:val="0"/>
      <w:marTop w:val="0"/>
      <w:marBottom w:val="0"/>
      <w:divBdr>
        <w:top w:val="none" w:sz="0" w:space="0" w:color="auto"/>
        <w:left w:val="none" w:sz="0" w:space="0" w:color="auto"/>
        <w:bottom w:val="none" w:sz="0" w:space="0" w:color="auto"/>
        <w:right w:val="none" w:sz="0" w:space="0" w:color="auto"/>
      </w:divBdr>
    </w:div>
    <w:div w:id="905145231">
      <w:bodyDiv w:val="1"/>
      <w:marLeft w:val="0"/>
      <w:marRight w:val="0"/>
      <w:marTop w:val="0"/>
      <w:marBottom w:val="0"/>
      <w:divBdr>
        <w:top w:val="none" w:sz="0" w:space="0" w:color="auto"/>
        <w:left w:val="none" w:sz="0" w:space="0" w:color="auto"/>
        <w:bottom w:val="none" w:sz="0" w:space="0" w:color="auto"/>
        <w:right w:val="none" w:sz="0" w:space="0" w:color="auto"/>
      </w:divBdr>
    </w:div>
    <w:div w:id="911817678">
      <w:bodyDiv w:val="1"/>
      <w:marLeft w:val="0"/>
      <w:marRight w:val="0"/>
      <w:marTop w:val="0"/>
      <w:marBottom w:val="0"/>
      <w:divBdr>
        <w:top w:val="none" w:sz="0" w:space="0" w:color="auto"/>
        <w:left w:val="none" w:sz="0" w:space="0" w:color="auto"/>
        <w:bottom w:val="none" w:sz="0" w:space="0" w:color="auto"/>
        <w:right w:val="none" w:sz="0" w:space="0" w:color="auto"/>
      </w:divBdr>
    </w:div>
    <w:div w:id="921376984">
      <w:bodyDiv w:val="1"/>
      <w:marLeft w:val="0"/>
      <w:marRight w:val="0"/>
      <w:marTop w:val="0"/>
      <w:marBottom w:val="0"/>
      <w:divBdr>
        <w:top w:val="none" w:sz="0" w:space="0" w:color="auto"/>
        <w:left w:val="none" w:sz="0" w:space="0" w:color="auto"/>
        <w:bottom w:val="none" w:sz="0" w:space="0" w:color="auto"/>
        <w:right w:val="none" w:sz="0" w:space="0" w:color="auto"/>
      </w:divBdr>
    </w:div>
    <w:div w:id="972179632">
      <w:bodyDiv w:val="1"/>
      <w:marLeft w:val="0"/>
      <w:marRight w:val="0"/>
      <w:marTop w:val="0"/>
      <w:marBottom w:val="0"/>
      <w:divBdr>
        <w:top w:val="none" w:sz="0" w:space="0" w:color="auto"/>
        <w:left w:val="none" w:sz="0" w:space="0" w:color="auto"/>
        <w:bottom w:val="none" w:sz="0" w:space="0" w:color="auto"/>
        <w:right w:val="none" w:sz="0" w:space="0" w:color="auto"/>
      </w:divBdr>
    </w:div>
    <w:div w:id="982344827">
      <w:bodyDiv w:val="1"/>
      <w:marLeft w:val="0"/>
      <w:marRight w:val="0"/>
      <w:marTop w:val="0"/>
      <w:marBottom w:val="0"/>
      <w:divBdr>
        <w:top w:val="none" w:sz="0" w:space="0" w:color="auto"/>
        <w:left w:val="none" w:sz="0" w:space="0" w:color="auto"/>
        <w:bottom w:val="none" w:sz="0" w:space="0" w:color="auto"/>
        <w:right w:val="none" w:sz="0" w:space="0" w:color="auto"/>
      </w:divBdr>
    </w:div>
    <w:div w:id="1035888689">
      <w:bodyDiv w:val="1"/>
      <w:marLeft w:val="0"/>
      <w:marRight w:val="0"/>
      <w:marTop w:val="0"/>
      <w:marBottom w:val="0"/>
      <w:divBdr>
        <w:top w:val="none" w:sz="0" w:space="0" w:color="auto"/>
        <w:left w:val="none" w:sz="0" w:space="0" w:color="auto"/>
        <w:bottom w:val="none" w:sz="0" w:space="0" w:color="auto"/>
        <w:right w:val="none" w:sz="0" w:space="0" w:color="auto"/>
      </w:divBdr>
    </w:div>
    <w:div w:id="1040398309">
      <w:bodyDiv w:val="1"/>
      <w:marLeft w:val="0"/>
      <w:marRight w:val="0"/>
      <w:marTop w:val="0"/>
      <w:marBottom w:val="0"/>
      <w:divBdr>
        <w:top w:val="none" w:sz="0" w:space="0" w:color="auto"/>
        <w:left w:val="none" w:sz="0" w:space="0" w:color="auto"/>
        <w:bottom w:val="none" w:sz="0" w:space="0" w:color="auto"/>
        <w:right w:val="none" w:sz="0" w:space="0" w:color="auto"/>
      </w:divBdr>
    </w:div>
    <w:div w:id="1056315917">
      <w:bodyDiv w:val="1"/>
      <w:marLeft w:val="0"/>
      <w:marRight w:val="0"/>
      <w:marTop w:val="0"/>
      <w:marBottom w:val="0"/>
      <w:divBdr>
        <w:top w:val="none" w:sz="0" w:space="0" w:color="auto"/>
        <w:left w:val="none" w:sz="0" w:space="0" w:color="auto"/>
        <w:bottom w:val="none" w:sz="0" w:space="0" w:color="auto"/>
        <w:right w:val="none" w:sz="0" w:space="0" w:color="auto"/>
      </w:divBdr>
    </w:div>
    <w:div w:id="1080982187">
      <w:bodyDiv w:val="1"/>
      <w:marLeft w:val="0"/>
      <w:marRight w:val="0"/>
      <w:marTop w:val="0"/>
      <w:marBottom w:val="0"/>
      <w:divBdr>
        <w:top w:val="none" w:sz="0" w:space="0" w:color="auto"/>
        <w:left w:val="none" w:sz="0" w:space="0" w:color="auto"/>
        <w:bottom w:val="none" w:sz="0" w:space="0" w:color="auto"/>
        <w:right w:val="none" w:sz="0" w:space="0" w:color="auto"/>
      </w:divBdr>
    </w:div>
    <w:div w:id="1081756841">
      <w:bodyDiv w:val="1"/>
      <w:marLeft w:val="0"/>
      <w:marRight w:val="0"/>
      <w:marTop w:val="0"/>
      <w:marBottom w:val="0"/>
      <w:divBdr>
        <w:top w:val="none" w:sz="0" w:space="0" w:color="auto"/>
        <w:left w:val="none" w:sz="0" w:space="0" w:color="auto"/>
        <w:bottom w:val="none" w:sz="0" w:space="0" w:color="auto"/>
        <w:right w:val="none" w:sz="0" w:space="0" w:color="auto"/>
      </w:divBdr>
    </w:div>
    <w:div w:id="1083576107">
      <w:bodyDiv w:val="1"/>
      <w:marLeft w:val="0"/>
      <w:marRight w:val="0"/>
      <w:marTop w:val="0"/>
      <w:marBottom w:val="0"/>
      <w:divBdr>
        <w:top w:val="none" w:sz="0" w:space="0" w:color="auto"/>
        <w:left w:val="none" w:sz="0" w:space="0" w:color="auto"/>
        <w:bottom w:val="none" w:sz="0" w:space="0" w:color="auto"/>
        <w:right w:val="none" w:sz="0" w:space="0" w:color="auto"/>
      </w:divBdr>
    </w:div>
    <w:div w:id="1142117966">
      <w:bodyDiv w:val="1"/>
      <w:marLeft w:val="0"/>
      <w:marRight w:val="0"/>
      <w:marTop w:val="0"/>
      <w:marBottom w:val="0"/>
      <w:divBdr>
        <w:top w:val="none" w:sz="0" w:space="0" w:color="auto"/>
        <w:left w:val="none" w:sz="0" w:space="0" w:color="auto"/>
        <w:bottom w:val="none" w:sz="0" w:space="0" w:color="auto"/>
        <w:right w:val="none" w:sz="0" w:space="0" w:color="auto"/>
      </w:divBdr>
    </w:div>
    <w:div w:id="1144155868">
      <w:bodyDiv w:val="1"/>
      <w:marLeft w:val="0"/>
      <w:marRight w:val="0"/>
      <w:marTop w:val="0"/>
      <w:marBottom w:val="0"/>
      <w:divBdr>
        <w:top w:val="none" w:sz="0" w:space="0" w:color="auto"/>
        <w:left w:val="none" w:sz="0" w:space="0" w:color="auto"/>
        <w:bottom w:val="none" w:sz="0" w:space="0" w:color="auto"/>
        <w:right w:val="none" w:sz="0" w:space="0" w:color="auto"/>
      </w:divBdr>
    </w:div>
    <w:div w:id="1168444305">
      <w:bodyDiv w:val="1"/>
      <w:marLeft w:val="0"/>
      <w:marRight w:val="0"/>
      <w:marTop w:val="0"/>
      <w:marBottom w:val="0"/>
      <w:divBdr>
        <w:top w:val="none" w:sz="0" w:space="0" w:color="auto"/>
        <w:left w:val="none" w:sz="0" w:space="0" w:color="auto"/>
        <w:bottom w:val="none" w:sz="0" w:space="0" w:color="auto"/>
        <w:right w:val="none" w:sz="0" w:space="0" w:color="auto"/>
      </w:divBdr>
      <w:divsChild>
        <w:div w:id="919025474">
          <w:marLeft w:val="0"/>
          <w:marRight w:val="0"/>
          <w:marTop w:val="0"/>
          <w:marBottom w:val="0"/>
          <w:divBdr>
            <w:top w:val="none" w:sz="0" w:space="0" w:color="auto"/>
            <w:left w:val="none" w:sz="0" w:space="0" w:color="auto"/>
            <w:bottom w:val="none" w:sz="0" w:space="0" w:color="auto"/>
            <w:right w:val="none" w:sz="0" w:space="0" w:color="auto"/>
          </w:divBdr>
        </w:div>
        <w:div w:id="1152869634">
          <w:marLeft w:val="0"/>
          <w:marRight w:val="0"/>
          <w:marTop w:val="0"/>
          <w:marBottom w:val="0"/>
          <w:divBdr>
            <w:top w:val="none" w:sz="0" w:space="0" w:color="auto"/>
            <w:left w:val="none" w:sz="0" w:space="0" w:color="auto"/>
            <w:bottom w:val="none" w:sz="0" w:space="0" w:color="auto"/>
            <w:right w:val="none" w:sz="0" w:space="0" w:color="auto"/>
          </w:divBdr>
        </w:div>
        <w:div w:id="2123255745">
          <w:marLeft w:val="0"/>
          <w:marRight w:val="0"/>
          <w:marTop w:val="0"/>
          <w:marBottom w:val="0"/>
          <w:divBdr>
            <w:top w:val="none" w:sz="0" w:space="0" w:color="auto"/>
            <w:left w:val="none" w:sz="0" w:space="0" w:color="auto"/>
            <w:bottom w:val="none" w:sz="0" w:space="0" w:color="auto"/>
            <w:right w:val="none" w:sz="0" w:space="0" w:color="auto"/>
          </w:divBdr>
        </w:div>
      </w:divsChild>
    </w:div>
    <w:div w:id="1171874894">
      <w:bodyDiv w:val="1"/>
      <w:marLeft w:val="0"/>
      <w:marRight w:val="0"/>
      <w:marTop w:val="0"/>
      <w:marBottom w:val="0"/>
      <w:divBdr>
        <w:top w:val="none" w:sz="0" w:space="0" w:color="auto"/>
        <w:left w:val="none" w:sz="0" w:space="0" w:color="auto"/>
        <w:bottom w:val="none" w:sz="0" w:space="0" w:color="auto"/>
        <w:right w:val="none" w:sz="0" w:space="0" w:color="auto"/>
      </w:divBdr>
    </w:div>
    <w:div w:id="1224945095">
      <w:bodyDiv w:val="1"/>
      <w:marLeft w:val="0"/>
      <w:marRight w:val="0"/>
      <w:marTop w:val="0"/>
      <w:marBottom w:val="0"/>
      <w:divBdr>
        <w:top w:val="none" w:sz="0" w:space="0" w:color="auto"/>
        <w:left w:val="none" w:sz="0" w:space="0" w:color="auto"/>
        <w:bottom w:val="none" w:sz="0" w:space="0" w:color="auto"/>
        <w:right w:val="none" w:sz="0" w:space="0" w:color="auto"/>
      </w:divBdr>
    </w:div>
    <w:div w:id="1232303723">
      <w:bodyDiv w:val="1"/>
      <w:marLeft w:val="0"/>
      <w:marRight w:val="0"/>
      <w:marTop w:val="0"/>
      <w:marBottom w:val="0"/>
      <w:divBdr>
        <w:top w:val="none" w:sz="0" w:space="0" w:color="auto"/>
        <w:left w:val="none" w:sz="0" w:space="0" w:color="auto"/>
        <w:bottom w:val="none" w:sz="0" w:space="0" w:color="auto"/>
        <w:right w:val="none" w:sz="0" w:space="0" w:color="auto"/>
      </w:divBdr>
    </w:div>
    <w:div w:id="1252935946">
      <w:bodyDiv w:val="1"/>
      <w:marLeft w:val="0"/>
      <w:marRight w:val="0"/>
      <w:marTop w:val="0"/>
      <w:marBottom w:val="0"/>
      <w:divBdr>
        <w:top w:val="none" w:sz="0" w:space="0" w:color="auto"/>
        <w:left w:val="none" w:sz="0" w:space="0" w:color="auto"/>
        <w:bottom w:val="none" w:sz="0" w:space="0" w:color="auto"/>
        <w:right w:val="none" w:sz="0" w:space="0" w:color="auto"/>
      </w:divBdr>
    </w:div>
    <w:div w:id="1255673787">
      <w:bodyDiv w:val="1"/>
      <w:marLeft w:val="0"/>
      <w:marRight w:val="0"/>
      <w:marTop w:val="0"/>
      <w:marBottom w:val="0"/>
      <w:divBdr>
        <w:top w:val="none" w:sz="0" w:space="0" w:color="auto"/>
        <w:left w:val="none" w:sz="0" w:space="0" w:color="auto"/>
        <w:bottom w:val="none" w:sz="0" w:space="0" w:color="auto"/>
        <w:right w:val="none" w:sz="0" w:space="0" w:color="auto"/>
      </w:divBdr>
    </w:div>
    <w:div w:id="1273395846">
      <w:bodyDiv w:val="1"/>
      <w:marLeft w:val="0"/>
      <w:marRight w:val="0"/>
      <w:marTop w:val="0"/>
      <w:marBottom w:val="0"/>
      <w:divBdr>
        <w:top w:val="none" w:sz="0" w:space="0" w:color="auto"/>
        <w:left w:val="none" w:sz="0" w:space="0" w:color="auto"/>
        <w:bottom w:val="none" w:sz="0" w:space="0" w:color="auto"/>
        <w:right w:val="none" w:sz="0" w:space="0" w:color="auto"/>
      </w:divBdr>
    </w:div>
    <w:div w:id="1296640974">
      <w:bodyDiv w:val="1"/>
      <w:marLeft w:val="0"/>
      <w:marRight w:val="0"/>
      <w:marTop w:val="0"/>
      <w:marBottom w:val="0"/>
      <w:divBdr>
        <w:top w:val="none" w:sz="0" w:space="0" w:color="auto"/>
        <w:left w:val="none" w:sz="0" w:space="0" w:color="auto"/>
        <w:bottom w:val="none" w:sz="0" w:space="0" w:color="auto"/>
        <w:right w:val="none" w:sz="0" w:space="0" w:color="auto"/>
      </w:divBdr>
    </w:div>
    <w:div w:id="1347173890">
      <w:bodyDiv w:val="1"/>
      <w:marLeft w:val="0"/>
      <w:marRight w:val="0"/>
      <w:marTop w:val="0"/>
      <w:marBottom w:val="0"/>
      <w:divBdr>
        <w:top w:val="none" w:sz="0" w:space="0" w:color="auto"/>
        <w:left w:val="none" w:sz="0" w:space="0" w:color="auto"/>
        <w:bottom w:val="none" w:sz="0" w:space="0" w:color="auto"/>
        <w:right w:val="none" w:sz="0" w:space="0" w:color="auto"/>
      </w:divBdr>
    </w:div>
    <w:div w:id="1431655605">
      <w:bodyDiv w:val="1"/>
      <w:marLeft w:val="0"/>
      <w:marRight w:val="0"/>
      <w:marTop w:val="0"/>
      <w:marBottom w:val="0"/>
      <w:divBdr>
        <w:top w:val="none" w:sz="0" w:space="0" w:color="auto"/>
        <w:left w:val="none" w:sz="0" w:space="0" w:color="auto"/>
        <w:bottom w:val="none" w:sz="0" w:space="0" w:color="auto"/>
        <w:right w:val="none" w:sz="0" w:space="0" w:color="auto"/>
      </w:divBdr>
    </w:div>
    <w:div w:id="1435400665">
      <w:bodyDiv w:val="1"/>
      <w:marLeft w:val="0"/>
      <w:marRight w:val="0"/>
      <w:marTop w:val="0"/>
      <w:marBottom w:val="0"/>
      <w:divBdr>
        <w:top w:val="none" w:sz="0" w:space="0" w:color="auto"/>
        <w:left w:val="none" w:sz="0" w:space="0" w:color="auto"/>
        <w:bottom w:val="none" w:sz="0" w:space="0" w:color="auto"/>
        <w:right w:val="none" w:sz="0" w:space="0" w:color="auto"/>
      </w:divBdr>
    </w:div>
    <w:div w:id="1439983223">
      <w:bodyDiv w:val="1"/>
      <w:marLeft w:val="0"/>
      <w:marRight w:val="0"/>
      <w:marTop w:val="0"/>
      <w:marBottom w:val="0"/>
      <w:divBdr>
        <w:top w:val="none" w:sz="0" w:space="0" w:color="auto"/>
        <w:left w:val="none" w:sz="0" w:space="0" w:color="auto"/>
        <w:bottom w:val="none" w:sz="0" w:space="0" w:color="auto"/>
        <w:right w:val="none" w:sz="0" w:space="0" w:color="auto"/>
      </w:divBdr>
    </w:div>
    <w:div w:id="1441485577">
      <w:bodyDiv w:val="1"/>
      <w:marLeft w:val="0"/>
      <w:marRight w:val="0"/>
      <w:marTop w:val="0"/>
      <w:marBottom w:val="0"/>
      <w:divBdr>
        <w:top w:val="none" w:sz="0" w:space="0" w:color="auto"/>
        <w:left w:val="none" w:sz="0" w:space="0" w:color="auto"/>
        <w:bottom w:val="none" w:sz="0" w:space="0" w:color="auto"/>
        <w:right w:val="none" w:sz="0" w:space="0" w:color="auto"/>
      </w:divBdr>
    </w:div>
    <w:div w:id="1441679880">
      <w:bodyDiv w:val="1"/>
      <w:marLeft w:val="0"/>
      <w:marRight w:val="0"/>
      <w:marTop w:val="0"/>
      <w:marBottom w:val="0"/>
      <w:divBdr>
        <w:top w:val="none" w:sz="0" w:space="0" w:color="auto"/>
        <w:left w:val="none" w:sz="0" w:space="0" w:color="auto"/>
        <w:bottom w:val="none" w:sz="0" w:space="0" w:color="auto"/>
        <w:right w:val="none" w:sz="0" w:space="0" w:color="auto"/>
      </w:divBdr>
    </w:div>
    <w:div w:id="1453744800">
      <w:bodyDiv w:val="1"/>
      <w:marLeft w:val="0"/>
      <w:marRight w:val="0"/>
      <w:marTop w:val="0"/>
      <w:marBottom w:val="0"/>
      <w:divBdr>
        <w:top w:val="none" w:sz="0" w:space="0" w:color="auto"/>
        <w:left w:val="none" w:sz="0" w:space="0" w:color="auto"/>
        <w:bottom w:val="none" w:sz="0" w:space="0" w:color="auto"/>
        <w:right w:val="none" w:sz="0" w:space="0" w:color="auto"/>
      </w:divBdr>
    </w:div>
    <w:div w:id="1479952784">
      <w:bodyDiv w:val="1"/>
      <w:marLeft w:val="0"/>
      <w:marRight w:val="0"/>
      <w:marTop w:val="0"/>
      <w:marBottom w:val="0"/>
      <w:divBdr>
        <w:top w:val="none" w:sz="0" w:space="0" w:color="auto"/>
        <w:left w:val="none" w:sz="0" w:space="0" w:color="auto"/>
        <w:bottom w:val="none" w:sz="0" w:space="0" w:color="auto"/>
        <w:right w:val="none" w:sz="0" w:space="0" w:color="auto"/>
      </w:divBdr>
    </w:div>
    <w:div w:id="1480882448">
      <w:bodyDiv w:val="1"/>
      <w:marLeft w:val="0"/>
      <w:marRight w:val="0"/>
      <w:marTop w:val="0"/>
      <w:marBottom w:val="0"/>
      <w:divBdr>
        <w:top w:val="none" w:sz="0" w:space="0" w:color="auto"/>
        <w:left w:val="none" w:sz="0" w:space="0" w:color="auto"/>
        <w:bottom w:val="none" w:sz="0" w:space="0" w:color="auto"/>
        <w:right w:val="none" w:sz="0" w:space="0" w:color="auto"/>
      </w:divBdr>
    </w:div>
    <w:div w:id="1514346359">
      <w:bodyDiv w:val="1"/>
      <w:marLeft w:val="0"/>
      <w:marRight w:val="0"/>
      <w:marTop w:val="0"/>
      <w:marBottom w:val="0"/>
      <w:divBdr>
        <w:top w:val="none" w:sz="0" w:space="0" w:color="auto"/>
        <w:left w:val="none" w:sz="0" w:space="0" w:color="auto"/>
        <w:bottom w:val="none" w:sz="0" w:space="0" w:color="auto"/>
        <w:right w:val="none" w:sz="0" w:space="0" w:color="auto"/>
      </w:divBdr>
    </w:div>
    <w:div w:id="1539587111">
      <w:bodyDiv w:val="1"/>
      <w:marLeft w:val="0"/>
      <w:marRight w:val="0"/>
      <w:marTop w:val="0"/>
      <w:marBottom w:val="0"/>
      <w:divBdr>
        <w:top w:val="none" w:sz="0" w:space="0" w:color="auto"/>
        <w:left w:val="none" w:sz="0" w:space="0" w:color="auto"/>
        <w:bottom w:val="none" w:sz="0" w:space="0" w:color="auto"/>
        <w:right w:val="none" w:sz="0" w:space="0" w:color="auto"/>
      </w:divBdr>
    </w:div>
    <w:div w:id="1562784795">
      <w:bodyDiv w:val="1"/>
      <w:marLeft w:val="0"/>
      <w:marRight w:val="0"/>
      <w:marTop w:val="0"/>
      <w:marBottom w:val="0"/>
      <w:divBdr>
        <w:top w:val="none" w:sz="0" w:space="0" w:color="auto"/>
        <w:left w:val="none" w:sz="0" w:space="0" w:color="auto"/>
        <w:bottom w:val="none" w:sz="0" w:space="0" w:color="auto"/>
        <w:right w:val="none" w:sz="0" w:space="0" w:color="auto"/>
      </w:divBdr>
    </w:div>
    <w:div w:id="1582106919">
      <w:bodyDiv w:val="1"/>
      <w:marLeft w:val="0"/>
      <w:marRight w:val="0"/>
      <w:marTop w:val="0"/>
      <w:marBottom w:val="0"/>
      <w:divBdr>
        <w:top w:val="none" w:sz="0" w:space="0" w:color="auto"/>
        <w:left w:val="none" w:sz="0" w:space="0" w:color="auto"/>
        <w:bottom w:val="none" w:sz="0" w:space="0" w:color="auto"/>
        <w:right w:val="none" w:sz="0" w:space="0" w:color="auto"/>
      </w:divBdr>
    </w:div>
    <w:div w:id="1586718984">
      <w:bodyDiv w:val="1"/>
      <w:marLeft w:val="0"/>
      <w:marRight w:val="0"/>
      <w:marTop w:val="0"/>
      <w:marBottom w:val="0"/>
      <w:divBdr>
        <w:top w:val="none" w:sz="0" w:space="0" w:color="auto"/>
        <w:left w:val="none" w:sz="0" w:space="0" w:color="auto"/>
        <w:bottom w:val="none" w:sz="0" w:space="0" w:color="auto"/>
        <w:right w:val="none" w:sz="0" w:space="0" w:color="auto"/>
      </w:divBdr>
    </w:div>
    <w:div w:id="1656295969">
      <w:bodyDiv w:val="1"/>
      <w:marLeft w:val="0"/>
      <w:marRight w:val="0"/>
      <w:marTop w:val="0"/>
      <w:marBottom w:val="0"/>
      <w:divBdr>
        <w:top w:val="none" w:sz="0" w:space="0" w:color="auto"/>
        <w:left w:val="none" w:sz="0" w:space="0" w:color="auto"/>
        <w:bottom w:val="none" w:sz="0" w:space="0" w:color="auto"/>
        <w:right w:val="none" w:sz="0" w:space="0" w:color="auto"/>
      </w:divBdr>
    </w:div>
    <w:div w:id="1675913733">
      <w:bodyDiv w:val="1"/>
      <w:marLeft w:val="0"/>
      <w:marRight w:val="0"/>
      <w:marTop w:val="0"/>
      <w:marBottom w:val="0"/>
      <w:divBdr>
        <w:top w:val="none" w:sz="0" w:space="0" w:color="auto"/>
        <w:left w:val="none" w:sz="0" w:space="0" w:color="auto"/>
        <w:bottom w:val="none" w:sz="0" w:space="0" w:color="auto"/>
        <w:right w:val="none" w:sz="0" w:space="0" w:color="auto"/>
      </w:divBdr>
    </w:div>
    <w:div w:id="1873881745">
      <w:bodyDiv w:val="1"/>
      <w:marLeft w:val="0"/>
      <w:marRight w:val="0"/>
      <w:marTop w:val="0"/>
      <w:marBottom w:val="0"/>
      <w:divBdr>
        <w:top w:val="none" w:sz="0" w:space="0" w:color="auto"/>
        <w:left w:val="none" w:sz="0" w:space="0" w:color="auto"/>
        <w:bottom w:val="none" w:sz="0" w:space="0" w:color="auto"/>
        <w:right w:val="none" w:sz="0" w:space="0" w:color="auto"/>
      </w:divBdr>
    </w:div>
    <w:div w:id="1932466944">
      <w:bodyDiv w:val="1"/>
      <w:marLeft w:val="0"/>
      <w:marRight w:val="0"/>
      <w:marTop w:val="0"/>
      <w:marBottom w:val="0"/>
      <w:divBdr>
        <w:top w:val="none" w:sz="0" w:space="0" w:color="auto"/>
        <w:left w:val="none" w:sz="0" w:space="0" w:color="auto"/>
        <w:bottom w:val="none" w:sz="0" w:space="0" w:color="auto"/>
        <w:right w:val="none" w:sz="0" w:space="0" w:color="auto"/>
      </w:divBdr>
    </w:div>
    <w:div w:id="1994022188">
      <w:bodyDiv w:val="1"/>
      <w:marLeft w:val="0"/>
      <w:marRight w:val="0"/>
      <w:marTop w:val="0"/>
      <w:marBottom w:val="0"/>
      <w:divBdr>
        <w:top w:val="none" w:sz="0" w:space="0" w:color="auto"/>
        <w:left w:val="none" w:sz="0" w:space="0" w:color="auto"/>
        <w:bottom w:val="none" w:sz="0" w:space="0" w:color="auto"/>
        <w:right w:val="none" w:sz="0" w:space="0" w:color="auto"/>
      </w:divBdr>
    </w:div>
    <w:div w:id="2057004184">
      <w:bodyDiv w:val="1"/>
      <w:marLeft w:val="0"/>
      <w:marRight w:val="0"/>
      <w:marTop w:val="0"/>
      <w:marBottom w:val="0"/>
      <w:divBdr>
        <w:top w:val="none" w:sz="0" w:space="0" w:color="auto"/>
        <w:left w:val="none" w:sz="0" w:space="0" w:color="auto"/>
        <w:bottom w:val="none" w:sz="0" w:space="0" w:color="auto"/>
        <w:right w:val="none" w:sz="0" w:space="0" w:color="auto"/>
      </w:divBdr>
    </w:div>
    <w:div w:id="2125541308">
      <w:bodyDiv w:val="1"/>
      <w:marLeft w:val="0"/>
      <w:marRight w:val="0"/>
      <w:marTop w:val="0"/>
      <w:marBottom w:val="0"/>
      <w:divBdr>
        <w:top w:val="none" w:sz="0" w:space="0" w:color="auto"/>
        <w:left w:val="none" w:sz="0" w:space="0" w:color="auto"/>
        <w:bottom w:val="none" w:sz="0" w:space="0" w:color="auto"/>
        <w:right w:val="none" w:sz="0" w:space="0" w:color="auto"/>
      </w:divBdr>
    </w:div>
    <w:div w:id="21345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emcar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31D-BA4C-4396-98BC-193781F4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Редактор 2</cp:lastModifiedBy>
  <cp:revision>10</cp:revision>
  <cp:lastPrinted>2019-04-04T21:14:00Z</cp:lastPrinted>
  <dcterms:created xsi:type="dcterms:W3CDTF">2019-06-20T13:56:00Z</dcterms:created>
  <dcterms:modified xsi:type="dcterms:W3CDTF">2019-07-18T02:15:00Z</dcterms:modified>
</cp:coreProperties>
</file>