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98811" w14:textId="6EC781D2" w:rsidR="00D825E0" w:rsidRPr="00BA4657" w:rsidRDefault="00F67BF7" w:rsidP="000F68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bookmarkStart w:id="0" w:name="_GoBack"/>
      <w:bookmarkEnd w:id="0"/>
      <w:r w:rsidRPr="00F67BF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Alexandra N. Demyanenko, Irina L. </w:t>
      </w:r>
      <w:proofErr w:type="spellStart"/>
      <w:r w:rsidRPr="00F67BF7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Alimova</w:t>
      </w:r>
      <w:proofErr w:type="spellEnd"/>
    </w:p>
    <w:p w14:paraId="76CC41DB" w14:textId="77777777" w:rsidR="00F67BF7" w:rsidRDefault="00F67BF7" w:rsidP="000F68D8">
      <w:pPr>
        <w:pStyle w:val="a5"/>
        <w:jc w:val="both"/>
        <w:rPr>
          <w:sz w:val="24"/>
          <w:szCs w:val="24"/>
          <w:lang w:val="en-GB"/>
        </w:rPr>
      </w:pPr>
    </w:p>
    <w:p w14:paraId="29A3B4CB" w14:textId="62779810" w:rsidR="00A32C72" w:rsidRPr="00BA4657" w:rsidRDefault="000E0D67" w:rsidP="000F68D8">
      <w:pPr>
        <w:pStyle w:val="a5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Smolensk St</w:t>
      </w:r>
      <w:r w:rsidRPr="000E0D67"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>te Medical University</w:t>
      </w:r>
      <w:r w:rsidR="00FE3B41" w:rsidRPr="00FE3B41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Smolensk</w:t>
      </w:r>
      <w:r w:rsidR="00FE3B41" w:rsidRPr="00FE3B41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Russian Federation</w:t>
      </w:r>
    </w:p>
    <w:p w14:paraId="085B8925" w14:textId="77777777" w:rsidR="008229BE" w:rsidRPr="00BA4657" w:rsidRDefault="008229BE" w:rsidP="000F68D8">
      <w:pPr>
        <w:pStyle w:val="a5"/>
        <w:jc w:val="both"/>
        <w:rPr>
          <w:sz w:val="24"/>
          <w:szCs w:val="24"/>
          <w:lang w:val="en-GB"/>
        </w:rPr>
      </w:pPr>
    </w:p>
    <w:p w14:paraId="3AA9092A" w14:textId="7587432D" w:rsidR="00A41320" w:rsidRPr="00BA4657" w:rsidRDefault="006D69B1" w:rsidP="00FE3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>Cardiac Autonomic N</w:t>
      </w:r>
      <w:r w:rsidRPr="006D69B1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 xml:space="preserve">europathy 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>and</w:t>
      </w:r>
      <w:r w:rsidR="00FE3B41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>H</w:t>
      </w:r>
      <w:r w:rsidRPr="006D69B1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>ypoglycemia</w:t>
      </w:r>
      <w:proofErr w:type="spellEnd"/>
      <w:r w:rsidRPr="006D69B1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>as</w:t>
      </w:r>
      <w:r w:rsidR="00FE3B41" w:rsidRPr="00FE3B41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 xml:space="preserve"> </w:t>
      </w:r>
      <w:r w:rsidR="00026085">
        <w:rPr>
          <w:rFonts w:ascii="Times New Roman" w:eastAsia="Times New Roman" w:hAnsi="Times New Roman" w:cs="Times New Roman"/>
          <w:b/>
          <w:bCs/>
          <w:sz w:val="32"/>
          <w:szCs w:val="24"/>
          <w:lang w:val="en-US"/>
        </w:rPr>
        <w:t>Independent Predictors of</w:t>
      </w:r>
      <w:r w:rsidR="00026085" w:rsidRPr="00026085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 xml:space="preserve"> </w:t>
      </w:r>
      <w:r w:rsidR="00026085" w:rsidRPr="00A34476">
        <w:rPr>
          <w:rFonts w:ascii="Times New Roman" w:eastAsia="Times New Roman" w:hAnsi="Times New Roman" w:cs="Times New Roman"/>
          <w:b/>
          <w:bCs/>
          <w:i/>
          <w:sz w:val="32"/>
          <w:szCs w:val="24"/>
          <w:lang w:val="en-GB"/>
        </w:rPr>
        <w:t>QTc</w:t>
      </w:r>
      <w:r w:rsidR="00026085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 xml:space="preserve"> E</w:t>
      </w:r>
      <w:r w:rsidR="00026085" w:rsidRPr="00026085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 xml:space="preserve">longation </w:t>
      </w:r>
      <w:r w:rsidR="00026085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>at Night in Adolescents</w:t>
      </w:r>
      <w:r w:rsidR="00026085" w:rsidRPr="00026085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 xml:space="preserve"> </w:t>
      </w:r>
      <w:proofErr w:type="gramStart"/>
      <w:r w:rsidR="00026085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>With</w:t>
      </w:r>
      <w:proofErr w:type="gramEnd"/>
      <w:r w:rsidR="00FE3B41" w:rsidRPr="00FE3B41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 xml:space="preserve"> </w:t>
      </w:r>
      <w:r w:rsidR="00026085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>Type 1 D</w:t>
      </w:r>
      <w:r w:rsidR="00026085" w:rsidRPr="00026085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>iabetes</w:t>
      </w:r>
      <w:r w:rsidR="00FE3B41" w:rsidRPr="00FE3B41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>Cohort S</w:t>
      </w:r>
      <w:r w:rsidRPr="006D69B1">
        <w:rPr>
          <w:rFonts w:ascii="Times New Roman" w:eastAsia="Times New Roman" w:hAnsi="Times New Roman" w:cs="Times New Roman"/>
          <w:b/>
          <w:bCs/>
          <w:sz w:val="32"/>
          <w:szCs w:val="24"/>
          <w:lang w:val="en-GB"/>
        </w:rPr>
        <w:t>tudy</w:t>
      </w:r>
    </w:p>
    <w:p w14:paraId="6CB7E170" w14:textId="77777777" w:rsidR="001F1704" w:rsidRDefault="001F1704" w:rsidP="000F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87A8CC5" w14:textId="4D73B5B4" w:rsidR="00FE3B41" w:rsidRPr="00FE3B41" w:rsidRDefault="00A34476" w:rsidP="00FE3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Corresponding author</w:t>
      </w:r>
      <w:r w:rsidR="00FE3B41" w:rsidRPr="00FE3B4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:</w:t>
      </w:r>
    </w:p>
    <w:p w14:paraId="72263B3B" w14:textId="7A722BE8" w:rsidR="00FE3B41" w:rsidRPr="00A7012F" w:rsidRDefault="0089781D" w:rsidP="00FE3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447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Demyanenko Alexandra </w:t>
      </w:r>
      <w:r w:rsidRPr="00A3447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="00A34476" w:rsidRPr="00A3447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r w:rsidR="00FE3B41" w:rsidRPr="00FE3B4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52770E" w:rsidRPr="0052770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postgraduate </w:t>
      </w:r>
      <w:r w:rsidR="00A3447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student </w:t>
      </w:r>
      <w:r w:rsidR="0052770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of </w:t>
      </w:r>
      <w:proofErr w:type="spellStart"/>
      <w:r w:rsidR="00A7012F">
        <w:rPr>
          <w:rFonts w:ascii="Times New Roman" w:eastAsia="Times New Roman" w:hAnsi="Times New Roman" w:cs="Times New Roman"/>
          <w:sz w:val="24"/>
          <w:szCs w:val="24"/>
          <w:lang w:val="en-GB"/>
        </w:rPr>
        <w:t>Pediatric</w:t>
      </w:r>
      <w:proofErr w:type="spellEnd"/>
      <w:r w:rsidR="00A7012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A7012F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proofErr w:type="spellStart"/>
      <w:r w:rsidR="002B4D6E" w:rsidRPr="002B4D6E">
        <w:rPr>
          <w:rFonts w:ascii="Times New Roman" w:eastAsia="Times New Roman" w:hAnsi="Times New Roman" w:cs="Times New Roman"/>
          <w:sz w:val="24"/>
          <w:szCs w:val="24"/>
          <w:lang w:val="en-GB"/>
        </w:rPr>
        <w:t>epartment</w:t>
      </w:r>
      <w:proofErr w:type="spellEnd"/>
      <w:r w:rsidR="002B4D6E" w:rsidRPr="002B4D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A7012F">
        <w:rPr>
          <w:rFonts w:ascii="Times New Roman" w:eastAsia="Times New Roman" w:hAnsi="Times New Roman" w:cs="Times New Roman"/>
          <w:sz w:val="24"/>
          <w:szCs w:val="24"/>
          <w:lang w:val="en-GB"/>
        </w:rPr>
        <w:t>with Neonatal G</w:t>
      </w:r>
      <w:r w:rsidR="002B4D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roup in </w:t>
      </w:r>
      <w:r w:rsidR="002B4D6E" w:rsidRPr="002B4D6E">
        <w:rPr>
          <w:rFonts w:ascii="Times New Roman" w:eastAsia="Times New Roman" w:hAnsi="Times New Roman" w:cs="Times New Roman"/>
          <w:sz w:val="24"/>
          <w:szCs w:val="24"/>
          <w:lang w:val="en-GB"/>
        </w:rPr>
        <w:t>Smolensk State Medical University</w:t>
      </w:r>
      <w:r w:rsidR="00FE3B41" w:rsidRPr="00FE3B4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="002B4D6E">
        <w:rPr>
          <w:rFonts w:ascii="Times New Roman" w:eastAsia="Times New Roman" w:hAnsi="Times New Roman" w:cs="Times New Roman"/>
          <w:sz w:val="24"/>
          <w:szCs w:val="24"/>
          <w:lang w:val="en-GB"/>
        </w:rPr>
        <w:t>pediatrician</w:t>
      </w:r>
      <w:proofErr w:type="spellEnd"/>
      <w:r w:rsidR="00FE3B41" w:rsidRPr="00FE3B4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2B4D6E" w:rsidRPr="002B4D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functional diagnostics doctor </w:t>
      </w:r>
      <w:r w:rsidR="002B4D6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 </w:t>
      </w:r>
      <w:r w:rsidR="002B4D6E" w:rsidRPr="002B4D6E">
        <w:rPr>
          <w:rFonts w:ascii="Times New Roman" w:eastAsia="Times New Roman" w:hAnsi="Times New Roman" w:cs="Times New Roman"/>
          <w:sz w:val="24"/>
          <w:szCs w:val="24"/>
          <w:lang w:val="en-GB"/>
        </w:rPr>
        <w:t>Smolensk Regional Children's Clinical Hospital RSFHF</w:t>
      </w:r>
    </w:p>
    <w:p w14:paraId="507746B8" w14:textId="27395BFA" w:rsidR="00FE3B41" w:rsidRPr="00FE3B41" w:rsidRDefault="00556464" w:rsidP="00FE3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5646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Address</w:t>
      </w:r>
      <w:r w:rsidR="00FE3B41" w:rsidRPr="00FE3B4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:</w:t>
      </w:r>
      <w:r w:rsidR="00FE3B41" w:rsidRPr="00FE3B4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214019,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Smolensk,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Krupskoy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street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FE3B41" w:rsidRPr="00FE3B4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28, </w:t>
      </w:r>
      <w:r w:rsidR="00FE3B41" w:rsidRPr="00FE3B4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e-mail:</w:t>
      </w:r>
      <w:r w:rsidR="00FE3B41" w:rsidRPr="00FE3B4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alex-glam@mail.ru</w:t>
      </w:r>
    </w:p>
    <w:p w14:paraId="0AEC0F72" w14:textId="22C30FE5" w:rsidR="00FE3B41" w:rsidRDefault="00A34476" w:rsidP="00FE3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Article r</w:t>
      </w:r>
      <w:proofErr w:type="spellStart"/>
      <w:r w:rsidR="00556464" w:rsidRPr="0055646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eceived</w:t>
      </w:r>
      <w:proofErr w:type="spellEnd"/>
      <w:r w:rsidR="00FE3B41" w:rsidRPr="00FE3B4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:</w:t>
      </w:r>
      <w:r w:rsidR="0055646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Mar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13, </w:t>
      </w:r>
      <w:r w:rsidR="00556464">
        <w:rPr>
          <w:rFonts w:ascii="Times New Roman" w:eastAsia="Times New Roman" w:hAnsi="Times New Roman" w:cs="Times New Roman"/>
          <w:sz w:val="24"/>
          <w:szCs w:val="24"/>
          <w:lang w:val="en-GB"/>
        </w:rPr>
        <w:t>2019</w:t>
      </w:r>
      <w:r w:rsidR="00FE3B41" w:rsidRPr="00FE3B4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submitted</w:t>
      </w:r>
      <w:r w:rsidR="00556464" w:rsidRPr="0055646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for publication</w:t>
      </w:r>
      <w:r w:rsidR="00FE3B41" w:rsidRPr="00FE3B4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:</w:t>
      </w:r>
      <w:r w:rsidR="0055646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Aug 26, </w:t>
      </w:r>
      <w:r w:rsidR="00556464">
        <w:rPr>
          <w:rFonts w:ascii="Times New Roman" w:eastAsia="Times New Roman" w:hAnsi="Times New Roman" w:cs="Times New Roman"/>
          <w:sz w:val="24"/>
          <w:szCs w:val="24"/>
          <w:lang w:val="en-GB"/>
        </w:rPr>
        <w:t>2019</w:t>
      </w:r>
    </w:p>
    <w:p w14:paraId="6C326A77" w14:textId="5A6038B1" w:rsidR="00FE3B41" w:rsidRPr="00BA4657" w:rsidRDefault="00FE3B41" w:rsidP="000F68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C4B0E8C" w14:textId="27D27E6A" w:rsidR="00FE3B41" w:rsidRPr="00FE3B41" w:rsidRDefault="00E114BD" w:rsidP="00FE3B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GB"/>
        </w:rPr>
        <w:t>Background</w:t>
      </w:r>
      <w:r w:rsidR="00FE3B41" w:rsidRPr="00FE3B4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GB"/>
        </w:rPr>
        <w:t>.</w:t>
      </w:r>
      <w:r w:rsidR="00FE3B41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r w:rsidR="00840A6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QTc</w:t>
      </w:r>
      <w:r w:rsidR="003A317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elongation is the risk factor of </w:t>
      </w:r>
      <w:r w:rsidR="003A3177" w:rsidRPr="003A317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sudden cardiac death</w:t>
      </w:r>
      <w:r w:rsidR="003A317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. Patients with type 1 d</w:t>
      </w:r>
      <w:r w:rsidR="003A3177" w:rsidRPr="003A317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iabetes</w:t>
      </w:r>
      <w:r w:rsidR="00B52FF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(</w:t>
      </w:r>
      <w:r w:rsidR="00B52FF2" w:rsidRPr="00B52FF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T1D</w:t>
      </w:r>
      <w:r w:rsidR="00B52FF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)</w:t>
      </w:r>
      <w:r w:rsidR="003A3177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can have </w:t>
      </w:r>
      <w:r w:rsidR="00840A6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QTc</w:t>
      </w:r>
      <w:r w:rsidR="00B52FF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elongation </w:t>
      </w:r>
      <w:r w:rsidR="00B52FF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due to h</w:t>
      </w:r>
      <w:r w:rsidR="00B52FF2" w:rsidRPr="00B52FF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ypoglycemia</w:t>
      </w:r>
      <w:r w:rsidR="00B52FF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and cardiac autonomic n</w:t>
      </w:r>
      <w:r w:rsidR="00B52FF2" w:rsidRPr="00B52FF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europathy</w:t>
      </w:r>
      <w:r w:rsidR="00B52FF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(CAN). </w:t>
      </w:r>
      <w:r w:rsidR="00B52FF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The separate</w:t>
      </w:r>
      <w:r w:rsidR="00840A6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role of th</w:t>
      </w:r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ese</w:t>
      </w:r>
      <w:r w:rsidR="00840A6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two factors in QTc</w:t>
      </w:r>
      <w:r w:rsidR="00B52FF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elongation development in </w:t>
      </w:r>
      <w:r w:rsidR="00B52FF2" w:rsidRPr="00B52FF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T1D</w:t>
      </w:r>
      <w:r w:rsidR="00B52FF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patients is still </w:t>
      </w:r>
      <w:r w:rsidR="00B52FF2" w:rsidRPr="00B52FF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unknown</w:t>
      </w:r>
      <w:r w:rsidR="00B52FF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.</w:t>
      </w:r>
      <w:r w:rsidR="00A3447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GB"/>
        </w:rPr>
        <w:t>Objective</w:t>
      </w:r>
      <w:r w:rsidRP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. </w:t>
      </w:r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Our</w:t>
      </w:r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aim was</w:t>
      </w:r>
      <w:r w:rsidR="001720E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to study </w:t>
      </w:r>
      <w:r w:rsidR="0080574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the role of </w:t>
      </w:r>
      <w:r w:rsidR="0080574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cardiac autonomic n</w:t>
      </w:r>
      <w:r w:rsidR="00805742" w:rsidRPr="00B52FF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europathy</w:t>
      </w:r>
      <w:r w:rsidR="0080574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and h</w:t>
      </w:r>
      <w:r w:rsidR="00805742" w:rsidRPr="0080574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ypoglyce</w:t>
      </w:r>
      <w:r w:rsidR="0080574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mia as i</w:t>
      </w:r>
      <w:r w:rsidR="00805742" w:rsidRPr="0080574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ndependent</w:t>
      </w:r>
      <w:r w:rsidR="0080574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risk factors of </w:t>
      </w:r>
      <w:r w:rsidR="00840A69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QTc</w:t>
      </w:r>
      <w:r w:rsidR="0080574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elongation</w:t>
      </w:r>
      <w:r w:rsidR="00FA3870" w:rsidRPr="00A34476">
        <w:rPr>
          <w:lang w:val="en-US"/>
        </w:rPr>
        <w:t xml:space="preserve"> </w:t>
      </w:r>
      <w:r w:rsidR="00FA387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at night in adolescents w</w:t>
      </w:r>
      <w:r w:rsidR="00FA3870" w:rsidRPr="00FA387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ith </w:t>
      </w:r>
      <w:r w:rsidR="00FA387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T1D.</w:t>
      </w:r>
      <w:r w:rsidR="00A3447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r w:rsidRPr="00E964A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GB"/>
        </w:rPr>
        <w:t>Methods</w:t>
      </w:r>
      <w:r w:rsidR="00FE3B41" w:rsidRPr="00E964A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GB"/>
        </w:rPr>
        <w:t>.</w:t>
      </w:r>
      <w:r w:rsidR="00FE3B41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r w:rsidR="007221F8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Patients at the age of 10</w:t>
      </w:r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–</w:t>
      </w:r>
      <w:r w:rsidR="007221F8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17 years old with T1D were enrolled in the cohort study. All patients have undergone simultaneous 24-hour monitoring of </w:t>
      </w:r>
      <w:r w:rsidR="00840A69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electrocardiogram </w:t>
      </w:r>
      <w:r w:rsidR="007221F8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and glycemia.</w:t>
      </w:r>
      <w:r w:rsidR="00840A69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Results of nocturnal monitoring (23:00–07:00) w</w:t>
      </w:r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ere estimated. QTc elongation &gt;</w:t>
      </w:r>
      <w:r w:rsidR="00840A69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450 </w:t>
      </w:r>
      <w:proofErr w:type="spellStart"/>
      <w:r w:rsidR="00840A69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ms</w:t>
      </w:r>
      <w:proofErr w:type="spellEnd"/>
      <w:r w:rsidR="00840A69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was regarded pathological. CAN was diagnosed at </w:t>
      </w:r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decrease of ≥</w:t>
      </w:r>
      <w:r w:rsidR="00E964A0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2</w:t>
      </w:r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time domain parameters (SDNN &lt;101 </w:t>
      </w:r>
      <w:proofErr w:type="spellStart"/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ms</w:t>
      </w:r>
      <w:proofErr w:type="spellEnd"/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SDNNi</w:t>
      </w:r>
      <w:proofErr w:type="spellEnd"/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 &lt;48 </w:t>
      </w:r>
      <w:proofErr w:type="spellStart"/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ms</w:t>
      </w:r>
      <w:proofErr w:type="spellEnd"/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, SDANN &lt;85 </w:t>
      </w:r>
      <w:proofErr w:type="spellStart"/>
      <w:r w:rsidR="00E964A0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ms</w:t>
      </w:r>
      <w:proofErr w:type="spellEnd"/>
      <w:r w:rsidR="00E964A0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E964A0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rMSSD</w:t>
      </w:r>
      <w:proofErr w:type="spellEnd"/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 &lt;25 </w:t>
      </w:r>
      <w:proofErr w:type="spellStart"/>
      <w:r w:rsidR="00E964A0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ms</w:t>
      </w:r>
      <w:proofErr w:type="spellEnd"/>
      <w:r w:rsidR="00E964A0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)</w:t>
      </w:r>
      <w:r w:rsid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. </w:t>
      </w:r>
      <w:r w:rsid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H</w:t>
      </w:r>
      <w:r w:rsidR="00E964A0" w:rsidRPr="0080574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ypoglyce</w:t>
      </w:r>
      <w:r w:rsid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mia was classified as 1</w:t>
      </w:r>
      <w:r w:rsidR="00E964A0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vertAlign w:val="superscript"/>
          <w:lang w:val="en-US"/>
        </w:rPr>
        <w:t>st</w:t>
      </w:r>
      <w:r w:rsid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(</w:t>
      </w:r>
      <w:r w:rsidR="00E964A0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≥</w:t>
      </w:r>
      <w:r w:rsid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3.0 and </w:t>
      </w:r>
      <w:r w:rsidR="00E964A0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≤</w:t>
      </w:r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3.9 </w:t>
      </w:r>
      <w:r w:rsidR="00E964A0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mmol/L</w:t>
      </w:r>
      <w:r w:rsid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), 2</w:t>
      </w:r>
      <w:r w:rsidR="00E964A0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vertAlign w:val="superscript"/>
          <w:lang w:val="en-US"/>
        </w:rPr>
        <w:t>nd</w:t>
      </w:r>
      <w:r w:rsid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(</w:t>
      </w:r>
      <w:r w:rsidR="00E964A0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≥</w:t>
      </w:r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2.2 and &lt;3.0 </w:t>
      </w:r>
      <w:r w:rsidR="00E964A0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mmol/L</w:t>
      </w:r>
      <w:r w:rsid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) or 3</w:t>
      </w:r>
      <w:r w:rsidR="00E964A0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vertAlign w:val="superscript"/>
          <w:lang w:val="en-US"/>
        </w:rPr>
        <w:t>rd</w:t>
      </w:r>
      <w:r w:rsid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(</w:t>
      </w:r>
      <w:r w:rsidR="00E964A0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≤</w:t>
      </w:r>
      <w:r w:rsid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3.9 </w:t>
      </w:r>
      <w:r w:rsidR="00E964A0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mmol/L</w:t>
      </w:r>
      <w:r w:rsid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along with </w:t>
      </w:r>
      <w:r w:rsidR="00E964A0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cognitive defects</w:t>
      </w:r>
      <w:r w:rsid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and the need of </w:t>
      </w:r>
      <w:r w:rsidR="00E964A0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acute </w:t>
      </w:r>
      <w:r w:rsid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h</w:t>
      </w:r>
      <w:r w:rsidR="00E964A0" w:rsidRPr="00805742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ypoglyce</w:t>
      </w:r>
      <w:r w:rsid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mia </w:t>
      </w:r>
      <w:r w:rsidR="00E964A0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treatment</w:t>
      </w:r>
      <w:r w:rsid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) level. </w:t>
      </w:r>
      <w:r w:rsidR="00DA503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We also have </w:t>
      </w:r>
      <w:r w:rsidR="00DA503C" w:rsidRPr="00DA503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distinguish</w:t>
      </w:r>
      <w:r w:rsidR="00DA503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ed </w:t>
      </w:r>
      <w:r w:rsidR="00DA503C" w:rsidRPr="00DA503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prolonged</w:t>
      </w:r>
      <w:r w:rsidR="00DA503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(&lt; 3.0 </w:t>
      </w:r>
      <w:r w:rsidR="00DA503C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mmol/L</w:t>
      </w:r>
      <w:r w:rsidR="00DA503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and </w:t>
      </w:r>
      <w:r w:rsidR="00DA503C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≥</w:t>
      </w:r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120 </w:t>
      </w:r>
      <w:r w:rsidR="00DA503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min</w:t>
      </w:r>
      <w:r w:rsidR="00DA503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) and </w:t>
      </w:r>
      <w:r w:rsidR="00DA503C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asymptomatic</w:t>
      </w:r>
      <w:r w:rsidR="00DA503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(</w:t>
      </w:r>
      <w:r w:rsidR="00DA503C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≤</w:t>
      </w:r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3.9 </w:t>
      </w:r>
      <w:r w:rsidR="00DA503C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mmol/L</w:t>
      </w:r>
      <w:r w:rsidR="00DA503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and no </w:t>
      </w:r>
      <w:r w:rsidR="003A0C05" w:rsidRPr="003A0C0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adrenergic symptoms</w:t>
      </w:r>
      <w:r w:rsidR="00DA503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) </w:t>
      </w:r>
      <w:r w:rsidR="00DA503C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nocturnal hypoglycemia</w:t>
      </w:r>
      <w:r w:rsidR="00DA503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. </w:t>
      </w:r>
      <w:r w:rsidR="003A0C0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We didn’t analyse </w:t>
      </w:r>
      <w:proofErr w:type="spellStart"/>
      <w:r w:rsidR="003A0C05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hypoglycemia</w:t>
      </w:r>
      <w:proofErr w:type="spellEnd"/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periods with &gt;9.0 </w:t>
      </w:r>
      <w:r w:rsidR="003A0C05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mmol/L</w:t>
      </w:r>
      <w:r w:rsidR="003A0C0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.</w:t>
      </w:r>
      <w:r w:rsidR="00A3447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GB"/>
        </w:rPr>
        <w:t>Results</w:t>
      </w:r>
      <w:r w:rsidR="00FE3B41" w:rsidRPr="00FE3B4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GB"/>
        </w:rPr>
        <w:t>.</w:t>
      </w:r>
      <w:r w:rsidR="00FE3B41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QTc elongation &gt;450 </w:t>
      </w:r>
      <w:proofErr w:type="spellStart"/>
      <w:r w:rsidR="00ED3424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ms</w:t>
      </w:r>
      <w:proofErr w:type="spellEnd"/>
      <w:r w:rsidR="00ED342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was revealed in 28 out of 100</w:t>
      </w:r>
      <w:r w:rsidR="00ED3424" w:rsidRPr="00ED342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r w:rsidR="00ED342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patients. All patients with </w:t>
      </w:r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QTc</w:t>
      </w:r>
      <w:r w:rsidR="00ED3424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&gt;450</w:t>
      </w:r>
      <w:r w:rsid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 </w:t>
      </w:r>
      <w:proofErr w:type="spellStart"/>
      <w:r w:rsidR="00ED342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ms</w:t>
      </w:r>
      <w:proofErr w:type="spellEnd"/>
      <w:r w:rsidR="00ED342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were similar on gender, age, HbA1C level with patients without any </w:t>
      </w:r>
      <w:r w:rsidR="00ED3424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QTc elongation</w:t>
      </w:r>
      <w:r w:rsidR="00ED342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but they have longer history of T1D and higher frequency of 2</w:t>
      </w:r>
      <w:r w:rsidR="00ED3424" w:rsidRPr="00ED3424">
        <w:rPr>
          <w:rFonts w:ascii="Times New Roman" w:hAnsi="Times New Roman" w:cs="Times New Roman"/>
          <w:i/>
          <w:sz w:val="24"/>
          <w:szCs w:val="24"/>
          <w:shd w:val="clear" w:color="auto" w:fill="FFFFFF"/>
          <w:vertAlign w:val="superscript"/>
          <w:lang w:val="en-GB"/>
        </w:rPr>
        <w:t>nd</w:t>
      </w:r>
      <w:r w:rsidR="00ED342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level </w:t>
      </w:r>
      <w:r w:rsidR="00ED3424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hypoglycemia</w:t>
      </w:r>
      <w:r w:rsidR="00ED342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and </w:t>
      </w:r>
      <w:r w:rsidR="00ED3424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asymptomatic nocturnal hypoglycemia</w:t>
      </w:r>
      <w:r w:rsidR="00ED3424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.</w:t>
      </w:r>
      <w:r w:rsidR="00BB166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According to the data from </w:t>
      </w:r>
      <w:r w:rsidR="00BB1668" w:rsidRPr="00BB166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multivariate regression analysis</w:t>
      </w:r>
      <w:r w:rsid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independent p</w:t>
      </w:r>
      <w:r w:rsidR="00957AE8" w:rsidRP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redictors</w:t>
      </w:r>
      <w:r w:rsid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of </w:t>
      </w:r>
      <w:r w:rsidR="00957AE8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QTc elongation</w:t>
      </w:r>
      <w:r w:rsid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were the following: CAN </w:t>
      </w:r>
      <w:r w:rsidR="00957AE8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—</w:t>
      </w:r>
      <w:r w:rsid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r w:rsidR="00957AE8" w:rsidRP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odds ratio</w:t>
      </w:r>
      <w:r w:rsid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(OR) 9.0 (95% </w:t>
      </w:r>
      <w:r w:rsidR="00957AE8" w:rsidRP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confidential interval</w:t>
      </w:r>
      <w:r w:rsid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[CI] 3.3</w:t>
      </w:r>
      <w:r w:rsidR="00957AE8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–</w:t>
      </w:r>
      <w:r w:rsid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24.2), 2</w:t>
      </w:r>
      <w:r w:rsidR="00957AE8" w:rsidRPr="00ED3424">
        <w:rPr>
          <w:rFonts w:ascii="Times New Roman" w:hAnsi="Times New Roman" w:cs="Times New Roman"/>
          <w:i/>
          <w:sz w:val="24"/>
          <w:szCs w:val="24"/>
          <w:shd w:val="clear" w:color="auto" w:fill="FFFFFF"/>
          <w:vertAlign w:val="superscript"/>
          <w:lang w:val="en-GB"/>
        </w:rPr>
        <w:t>nd</w:t>
      </w:r>
      <w:r w:rsid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level </w:t>
      </w:r>
      <w:r w:rsidR="00957AE8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hypoglycemia</w:t>
      </w:r>
      <w:r w:rsid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r w:rsidR="00957AE8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—</w:t>
      </w:r>
      <w:r w:rsid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OR 4.4 (95% CI 1.4</w:t>
      </w:r>
      <w:r w:rsidR="00957AE8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–</w:t>
      </w:r>
      <w:r w:rsid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14.2), </w:t>
      </w:r>
      <w:r w:rsidR="00957AE8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asymptomatic nocturnal hypoglycemia</w:t>
      </w:r>
      <w:r w:rsid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r w:rsidR="00957AE8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—</w:t>
      </w:r>
      <w:r w:rsid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OR 2.9 (95% CI 1.1</w:t>
      </w:r>
      <w:r w:rsidR="00957AE8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–</w:t>
      </w:r>
      <w:r w:rsid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7.7) and </w:t>
      </w:r>
      <w:r w:rsid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T1D duration </w:t>
      </w:r>
      <w:r w:rsidR="00957AE8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—</w:t>
      </w:r>
      <w:r w:rsid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OR 1.3 (95% CI 1.0</w:t>
      </w:r>
      <w:r w:rsidR="00957AE8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–</w:t>
      </w:r>
      <w:r w:rsid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1.5).</w:t>
      </w:r>
      <w:r w:rsidR="00A34476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GB"/>
        </w:rPr>
        <w:t>Conclusion</w:t>
      </w:r>
      <w:r w:rsidR="00FE3B41" w:rsidRPr="00FE3B4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GB"/>
        </w:rPr>
        <w:t>.</w:t>
      </w:r>
      <w:r w:rsidR="00FE3B41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r w:rsidR="001B1F9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CAN and </w:t>
      </w:r>
      <w:r w:rsidR="001B1F91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hypoglycemia</w:t>
      </w:r>
      <w:r w:rsidR="001B1F9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r w:rsidR="00FE3B41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(</w:t>
      </w:r>
      <w:r w:rsidR="001B1F9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both clinically significant and</w:t>
      </w:r>
      <w:r w:rsidR="00FE3B41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r w:rsidR="001B1F91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asymptomatic nocturnal</w:t>
      </w:r>
      <w:r w:rsidR="00FE3B41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) </w:t>
      </w:r>
      <w:r w:rsidR="001B1F9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are independent p</w:t>
      </w:r>
      <w:r w:rsidR="001B1F91" w:rsidRPr="00957AE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redictors</w:t>
      </w:r>
      <w:r w:rsidR="001B1F9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of </w:t>
      </w:r>
      <w:r w:rsidR="001B1F91" w:rsidRPr="00E964A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QTc elongation </w:t>
      </w:r>
      <w:r w:rsidR="001B1F9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in adolescents w</w:t>
      </w:r>
      <w:r w:rsidR="001B1F91" w:rsidRPr="001B1F9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ith </w:t>
      </w:r>
      <w:r w:rsidR="001B1F9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T1D</w:t>
      </w:r>
      <w:r w:rsidR="00FE3B41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.</w:t>
      </w:r>
    </w:p>
    <w:p w14:paraId="2679E8FA" w14:textId="0FD9F407" w:rsidR="00FE3B41" w:rsidRPr="00FE3B41" w:rsidRDefault="007A1790" w:rsidP="00FE3B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GB"/>
        </w:rPr>
        <w:t>Key words</w:t>
      </w:r>
      <w:r w:rsidR="00FE3B41" w:rsidRPr="00FE3B4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GB"/>
        </w:rPr>
        <w:t>:</w:t>
      </w:r>
      <w:r w:rsidR="00FE3B41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r w:rsid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type 1 diabetes</w:t>
      </w:r>
      <w:r w:rsidR="00FE3B41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, </w:t>
      </w:r>
      <w:r w:rsid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children</w:t>
      </w:r>
      <w:r w:rsidR="00FE3B41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h</w:t>
      </w:r>
      <w:r w:rsidR="00026085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ypoglycemia</w:t>
      </w:r>
      <w:proofErr w:type="spellEnd"/>
      <w:r w:rsidR="00FE3B41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, </w:t>
      </w:r>
      <w:r w:rsidR="00026085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asymptomatic nocturnal </w:t>
      </w:r>
      <w:proofErr w:type="spellStart"/>
      <w:r w:rsidR="00026085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hypoglycemia</w:t>
      </w:r>
      <w:proofErr w:type="spellEnd"/>
      <w:r w:rsidR="00FE3B41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, </w:t>
      </w:r>
      <w:r w:rsid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QT interval</w:t>
      </w:r>
      <w:r w:rsidR="00FE3B41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, </w:t>
      </w:r>
      <w:r w:rsidR="00026085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Holter monitoring</w:t>
      </w:r>
      <w:r w:rsidR="00FE3B41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, </w:t>
      </w:r>
      <w:r w:rsidR="00026085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24-hour glycemia </w:t>
      </w:r>
      <w:r w:rsid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monitoring</w:t>
      </w:r>
      <w:r w:rsidR="00FE3B41"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.</w:t>
      </w:r>
    </w:p>
    <w:p w14:paraId="7201C75D" w14:textId="3422A521" w:rsidR="00230F87" w:rsidRPr="00A34476" w:rsidRDefault="00FE3B41" w:rsidP="00FE3B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(</w:t>
      </w:r>
      <w:r w:rsidR="007A179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GB"/>
        </w:rPr>
        <w:t>For citation</w:t>
      </w:r>
      <w:r w:rsidRPr="00FE3B4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en-GB"/>
        </w:rPr>
        <w:t>:</w:t>
      </w:r>
      <w:r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r w:rsidR="0002608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Demyanenko Alexandra N.</w:t>
      </w:r>
      <w:r w:rsidRPr="0002608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02608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Alimova</w:t>
      </w:r>
      <w:proofErr w:type="spellEnd"/>
      <w:r w:rsidR="0002608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Irina L</w:t>
      </w:r>
      <w:r w:rsidRPr="0002608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. </w:t>
      </w:r>
      <w:r w:rsidR="00026085" w:rsidRPr="0002608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Cardiac Autonomic Neuropathy and Hypoglycemia as Independent Predictors of </w:t>
      </w:r>
      <w:r w:rsidR="00026085" w:rsidRPr="00A7012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QTc</w:t>
      </w:r>
      <w:r w:rsidR="00026085" w:rsidRPr="0002608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Elongation at Night in Adolescents </w:t>
      </w:r>
      <w:proofErr w:type="gramStart"/>
      <w:r w:rsidR="00026085" w:rsidRPr="0002608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With</w:t>
      </w:r>
      <w:proofErr w:type="gramEnd"/>
      <w:r w:rsidR="00026085" w:rsidRPr="0002608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Type 1 Diabetes: Cohort Study</w:t>
      </w:r>
      <w:r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. </w:t>
      </w:r>
      <w:proofErr w:type="spellStart"/>
      <w:r w:rsidR="00026085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Voprosy</w:t>
      </w:r>
      <w:proofErr w:type="spellEnd"/>
      <w:r w:rsidR="00026085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26085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sovremennoi</w:t>
      </w:r>
      <w:proofErr w:type="spellEnd"/>
      <w:r w:rsidR="00026085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026085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pediatrii</w:t>
      </w:r>
      <w:proofErr w:type="spellEnd"/>
      <w:r w:rsidR="00026085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 — Current </w:t>
      </w:r>
      <w:proofErr w:type="spellStart"/>
      <w:r w:rsidR="00026085" w:rsidRPr="00026085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Pediatrics</w:t>
      </w:r>
      <w:proofErr w:type="spellEnd"/>
      <w:r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 xml:space="preserve">. </w:t>
      </w:r>
      <w:r w:rsidRPr="00A34476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2019; 18 (4): 0–00. </w:t>
      </w:r>
      <w:proofErr w:type="spellStart"/>
      <w:r w:rsidRPr="00A34476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doi</w:t>
      </w:r>
      <w:proofErr w:type="spellEnd"/>
      <w:r w:rsidRPr="00A34476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: </w:t>
      </w:r>
      <w:r w:rsidR="00A34476" w:rsidRPr="00A34476">
        <w:rPr>
          <w:rFonts w:ascii="Times New Roman" w:hAnsi="Times New Roman" w:cs="Times New Roman"/>
          <w:sz w:val="24"/>
        </w:rPr>
        <w:t>10.15690/</w:t>
      </w:r>
      <w:proofErr w:type="gramStart"/>
      <w:r w:rsidR="00A34476" w:rsidRPr="00A34476">
        <w:rPr>
          <w:rFonts w:ascii="Times New Roman" w:hAnsi="Times New Roman" w:cs="Times New Roman"/>
          <w:sz w:val="24"/>
        </w:rPr>
        <w:t>vsp.v</w:t>
      </w:r>
      <w:proofErr w:type="gramEnd"/>
      <w:r w:rsidR="00A34476" w:rsidRPr="00A34476">
        <w:rPr>
          <w:rFonts w:ascii="Times New Roman" w:hAnsi="Times New Roman" w:cs="Times New Roman"/>
          <w:sz w:val="24"/>
        </w:rPr>
        <w:t>18i4.2043</w:t>
      </w:r>
      <w:r w:rsidRPr="00FE3B41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GB"/>
        </w:rPr>
        <w:t>)</w:t>
      </w:r>
    </w:p>
    <w:p w14:paraId="1EA8C43B" w14:textId="77777777" w:rsidR="00F02EE4" w:rsidRPr="00BA4657" w:rsidRDefault="00F02EE4" w:rsidP="00953C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709623D" w14:textId="4A7F484B" w:rsidR="00AD1F9F" w:rsidRPr="00A34476" w:rsidRDefault="00A34476" w:rsidP="006C65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RESULTS</w:t>
      </w:r>
    </w:p>
    <w:p w14:paraId="100530A1" w14:textId="77777777" w:rsidR="00A34476" w:rsidRDefault="00A34476" w:rsidP="00856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0040081" w14:textId="54E4C850" w:rsidR="006466CC" w:rsidRPr="00B61868" w:rsidRDefault="00A7012F" w:rsidP="00856D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 w:rsidRPr="00B61868">
        <w:rPr>
          <w:rFonts w:ascii="Times New Roman" w:eastAsia="Times New Roman" w:hAnsi="Times New Roman" w:cs="Times New Roman"/>
          <w:b/>
          <w:bCs/>
          <w:sz w:val="24"/>
          <w:szCs w:val="20"/>
          <w:lang w:val="en-GB"/>
        </w:rPr>
        <w:t>Table </w:t>
      </w:r>
      <w:r w:rsidR="00856D99" w:rsidRPr="00B61868">
        <w:rPr>
          <w:rFonts w:ascii="Times New Roman" w:eastAsia="Times New Roman" w:hAnsi="Times New Roman" w:cs="Times New Roman"/>
          <w:b/>
          <w:bCs/>
          <w:sz w:val="24"/>
          <w:szCs w:val="20"/>
          <w:lang w:val="en-GB"/>
        </w:rPr>
        <w:t>1.</w:t>
      </w:r>
      <w:r w:rsidR="00856D99"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Characteristic</w:t>
      </w:r>
      <w:r w:rsidR="0033627B"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s</w:t>
      </w:r>
      <w:r w:rsidR="00856D99"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of patients with T1D du</w:t>
      </w:r>
      <w:r w:rsidR="00A34476"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e to the length of </w:t>
      </w:r>
      <w:r w:rsidR="00A34476" w:rsidRPr="00B61868">
        <w:rPr>
          <w:rFonts w:ascii="Times New Roman" w:eastAsia="Times New Roman" w:hAnsi="Times New Roman" w:cs="Times New Roman"/>
          <w:bCs/>
          <w:i/>
          <w:sz w:val="24"/>
          <w:szCs w:val="20"/>
          <w:lang w:val="en-GB"/>
        </w:rPr>
        <w:t>QTc</w:t>
      </w:r>
      <w:r w:rsidR="00A34476"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interval</w:t>
      </w:r>
    </w:p>
    <w:tbl>
      <w:tblPr>
        <w:tblStyle w:val="af4"/>
        <w:tblW w:w="9356" w:type="dxa"/>
        <w:tblLayout w:type="fixed"/>
        <w:tblLook w:val="0000" w:firstRow="0" w:lastRow="0" w:firstColumn="0" w:lastColumn="0" w:noHBand="0" w:noVBand="0"/>
      </w:tblPr>
      <w:tblGrid>
        <w:gridCol w:w="3555"/>
        <w:gridCol w:w="2262"/>
        <w:gridCol w:w="2262"/>
        <w:gridCol w:w="1277"/>
      </w:tblGrid>
      <w:tr w:rsidR="001C3053" w:rsidRPr="00FD0337" w14:paraId="68D084B2" w14:textId="77777777" w:rsidTr="00A3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5" w:type="dxa"/>
          </w:tcPr>
          <w:p w14:paraId="41863C0B" w14:textId="338A0DBA" w:rsidR="001C3053" w:rsidRPr="00FD0337" w:rsidRDefault="00FD0337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Indexes</w:t>
            </w:r>
          </w:p>
        </w:tc>
        <w:tc>
          <w:tcPr>
            <w:tcW w:w="2262" w:type="dxa"/>
          </w:tcPr>
          <w:p w14:paraId="55BA3954" w14:textId="0710CBD7" w:rsidR="001C3053" w:rsidRPr="00FD0337" w:rsidRDefault="00856D99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Patients with </w:t>
            </w:r>
            <w:r w:rsidRPr="00A3447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QTc</w:t>
            </w:r>
            <w:r w:rsidR="00A34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A34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&gt;</w:t>
            </w:r>
            <w:r w:rsidR="001C3053" w:rsidRPr="00FD0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450 </w:t>
            </w:r>
            <w:r w:rsidR="00A34476" w:rsidRPr="00A344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 w:rsidR="00A344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="00A34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=</w:t>
            </w:r>
            <w:r w:rsidR="001C3053" w:rsidRPr="00FD0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</w:tcPr>
          <w:p w14:paraId="6436225B" w14:textId="0C0B3397" w:rsidR="001C3053" w:rsidRPr="00FD0337" w:rsidRDefault="00A34476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Patients with </w:t>
            </w:r>
            <w:r w:rsidRPr="00A3447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QTc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856D99" w:rsidRPr="00FD0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≤</w:t>
            </w:r>
            <w:r w:rsidR="001C3053" w:rsidRPr="00FD0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450 </w:t>
            </w:r>
            <w:r w:rsidRPr="00A344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=</w:t>
            </w:r>
            <w:r w:rsidR="001C3053" w:rsidRPr="00FD0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72</w:t>
            </w:r>
          </w:p>
        </w:tc>
        <w:tc>
          <w:tcPr>
            <w:tcW w:w="1277" w:type="dxa"/>
          </w:tcPr>
          <w:p w14:paraId="0BD0EAE8" w14:textId="5F53B299" w:rsidR="001C3053" w:rsidRPr="00A34476" w:rsidRDefault="001C3053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A3447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р</w:t>
            </w:r>
          </w:p>
        </w:tc>
      </w:tr>
      <w:tr w:rsidR="001C3053" w:rsidRPr="00856D99" w14:paraId="4DF54DF2" w14:textId="77777777" w:rsidTr="00A3447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5" w:type="dxa"/>
          </w:tcPr>
          <w:p w14:paraId="227F8645" w14:textId="10F02B5C" w:rsidR="001C3053" w:rsidRPr="00856D99" w:rsidRDefault="00856D99" w:rsidP="0085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Age</w:t>
            </w:r>
            <w:r w:rsidR="001C3053"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years</w:t>
            </w:r>
          </w:p>
        </w:tc>
        <w:tc>
          <w:tcPr>
            <w:tcW w:w="2262" w:type="dxa"/>
          </w:tcPr>
          <w:p w14:paraId="114EC43C" w14:textId="3825E9A4" w:rsidR="001C3053" w:rsidRPr="00856D99" w:rsidRDefault="001C3053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12,5 (12,0; 13,8)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</w:tcPr>
          <w:p w14:paraId="15CAE9FF" w14:textId="2180FD11" w:rsidR="001C3053" w:rsidRPr="00856D99" w:rsidRDefault="001C3053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13,5 (12,0; 15,0)</w:t>
            </w:r>
          </w:p>
        </w:tc>
        <w:tc>
          <w:tcPr>
            <w:tcW w:w="1277" w:type="dxa"/>
          </w:tcPr>
          <w:p w14:paraId="247F97F5" w14:textId="6C792966" w:rsidR="001C3053" w:rsidRPr="00856D99" w:rsidRDefault="001C3053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0,229</w:t>
            </w:r>
          </w:p>
        </w:tc>
      </w:tr>
      <w:tr w:rsidR="001C3053" w:rsidRPr="00856D99" w14:paraId="1231244F" w14:textId="77777777" w:rsidTr="00A3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5" w:type="dxa"/>
          </w:tcPr>
          <w:p w14:paraId="56BC22BE" w14:textId="35E4239F" w:rsidR="001C3053" w:rsidRPr="00856D99" w:rsidRDefault="00856D99" w:rsidP="0085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Gender</w:t>
            </w:r>
            <w:r w:rsidR="001C3053"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female</w:t>
            </w:r>
            <w:r w:rsidR="001C3053"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abs</w:t>
            </w:r>
            <w:r w:rsidR="001C3053"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262" w:type="dxa"/>
          </w:tcPr>
          <w:p w14:paraId="0A8DA719" w14:textId="5A51E5E6" w:rsidR="001C3053" w:rsidRPr="00856D99" w:rsidRDefault="001C3053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16 (58)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</w:tcPr>
          <w:p w14:paraId="775015E9" w14:textId="12EDA0F8" w:rsidR="001C3053" w:rsidRPr="00856D99" w:rsidRDefault="001C3053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28 (39)</w:t>
            </w:r>
          </w:p>
        </w:tc>
        <w:tc>
          <w:tcPr>
            <w:tcW w:w="1277" w:type="dxa"/>
          </w:tcPr>
          <w:p w14:paraId="566595D0" w14:textId="4144F999" w:rsidR="001C3053" w:rsidRPr="00856D99" w:rsidRDefault="001C3053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0,099</w:t>
            </w:r>
          </w:p>
        </w:tc>
      </w:tr>
      <w:tr w:rsidR="001C3053" w:rsidRPr="00856D99" w14:paraId="26551F46" w14:textId="77777777" w:rsidTr="00A3447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5" w:type="dxa"/>
          </w:tcPr>
          <w:p w14:paraId="024A92B7" w14:textId="28BEE2D0" w:rsidR="001C3053" w:rsidRPr="00856D99" w:rsidRDefault="00856D99" w:rsidP="0085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HbА1C</w:t>
            </w:r>
            <w:r w:rsidR="001C3053"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262" w:type="dxa"/>
          </w:tcPr>
          <w:p w14:paraId="01EB29CF" w14:textId="398E824D" w:rsidR="001C3053" w:rsidRPr="00856D99" w:rsidRDefault="001C3053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10,4 (9,7; 12,6)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</w:tcPr>
          <w:p w14:paraId="35AFADF0" w14:textId="2B29A4B5" w:rsidR="001C3053" w:rsidRPr="00856D99" w:rsidRDefault="001C3053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10,4 (8,6; 11,5)</w:t>
            </w:r>
          </w:p>
        </w:tc>
        <w:tc>
          <w:tcPr>
            <w:tcW w:w="1277" w:type="dxa"/>
          </w:tcPr>
          <w:p w14:paraId="2FB0A275" w14:textId="77A07A55" w:rsidR="001C3053" w:rsidRPr="00856D99" w:rsidRDefault="001C3053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0,221</w:t>
            </w:r>
          </w:p>
        </w:tc>
      </w:tr>
      <w:tr w:rsidR="001C3053" w:rsidRPr="00856D99" w14:paraId="13680AC7" w14:textId="77777777" w:rsidTr="00A3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5" w:type="dxa"/>
          </w:tcPr>
          <w:p w14:paraId="2A9D7FD2" w14:textId="5FB985DC" w:rsidR="001C3053" w:rsidRPr="00856D99" w:rsidRDefault="00B5619F" w:rsidP="00B56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</w:t>
            </w:r>
            <w:r w:rsidRPr="00B561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uration of a disease</w:t>
            </w:r>
            <w:r w:rsidR="001C3053"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years</w:t>
            </w:r>
          </w:p>
        </w:tc>
        <w:tc>
          <w:tcPr>
            <w:tcW w:w="2262" w:type="dxa"/>
          </w:tcPr>
          <w:p w14:paraId="773D6863" w14:textId="3324A365" w:rsidR="001C3053" w:rsidRPr="00856D99" w:rsidRDefault="001C3053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7,5 (4,0; 9,0)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</w:tcPr>
          <w:p w14:paraId="09DA9AA6" w14:textId="1F9D1B55" w:rsidR="001C3053" w:rsidRPr="00856D99" w:rsidRDefault="001C3053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4,0 (2,5; 6,0)</w:t>
            </w:r>
          </w:p>
        </w:tc>
        <w:tc>
          <w:tcPr>
            <w:tcW w:w="1277" w:type="dxa"/>
          </w:tcPr>
          <w:p w14:paraId="226B8F60" w14:textId="692E43D9" w:rsidR="001C3053" w:rsidRPr="00856D99" w:rsidRDefault="001C3053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0,045</w:t>
            </w:r>
          </w:p>
        </w:tc>
      </w:tr>
      <w:tr w:rsidR="001C3053" w:rsidRPr="00856D99" w14:paraId="504DAC8C" w14:textId="77777777" w:rsidTr="00A3447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5" w:type="dxa"/>
          </w:tcPr>
          <w:p w14:paraId="197230EA" w14:textId="0C375252" w:rsidR="001C3053" w:rsidRPr="00856D99" w:rsidRDefault="00B5619F" w:rsidP="00B56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  <w:r w:rsidRPr="00B561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octurnal hypoglycemia</w:t>
            </w:r>
            <w:r w:rsidR="001C3053"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abs</w:t>
            </w:r>
            <w:r w:rsidR="001C3053"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262" w:type="dxa"/>
          </w:tcPr>
          <w:p w14:paraId="4CCB3276" w14:textId="74504BC3" w:rsidR="001C3053" w:rsidRPr="00856D99" w:rsidRDefault="001C3053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12 (42)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</w:tcPr>
          <w:p w14:paraId="2A5BAE36" w14:textId="47775C8B" w:rsidR="001C3053" w:rsidRPr="00856D99" w:rsidRDefault="001C3053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28 (38)</w:t>
            </w:r>
          </w:p>
        </w:tc>
        <w:tc>
          <w:tcPr>
            <w:tcW w:w="1277" w:type="dxa"/>
          </w:tcPr>
          <w:p w14:paraId="1A372330" w14:textId="49261F21" w:rsidR="001C3053" w:rsidRPr="00856D99" w:rsidRDefault="001C3053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0,717</w:t>
            </w:r>
          </w:p>
        </w:tc>
      </w:tr>
      <w:tr w:rsidR="001C3053" w:rsidRPr="00856D99" w14:paraId="5F6F29DE" w14:textId="77777777" w:rsidTr="00A3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5" w:type="dxa"/>
          </w:tcPr>
          <w:p w14:paraId="4EE154F8" w14:textId="5D7F8E09" w:rsidR="001C3053" w:rsidRPr="00856D99" w:rsidRDefault="00B5619F" w:rsidP="00B56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561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Hypoglycemia </w:t>
            </w:r>
            <w:r w:rsidR="001C3053"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  <w:r w:rsidRPr="00B5619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level</w:t>
            </w:r>
            <w:r w:rsidR="001C3053"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abs</w:t>
            </w:r>
            <w:r w:rsidR="001C3053"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262" w:type="dxa"/>
          </w:tcPr>
          <w:p w14:paraId="35858D54" w14:textId="4BF53166" w:rsidR="001C3053" w:rsidRPr="00856D99" w:rsidRDefault="001C3053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 (16)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</w:tcPr>
          <w:p w14:paraId="5F8BA42F" w14:textId="1874FC42" w:rsidR="001C3053" w:rsidRPr="00856D99" w:rsidRDefault="001C3053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22 (78)</w:t>
            </w:r>
          </w:p>
        </w:tc>
        <w:tc>
          <w:tcPr>
            <w:tcW w:w="1277" w:type="dxa"/>
          </w:tcPr>
          <w:p w14:paraId="0B2682A8" w14:textId="5AFE4086" w:rsidR="001C3053" w:rsidRPr="00856D99" w:rsidRDefault="001C3053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0,001</w:t>
            </w:r>
          </w:p>
        </w:tc>
      </w:tr>
      <w:tr w:rsidR="001C3053" w:rsidRPr="00856D99" w14:paraId="4EEE8B2D" w14:textId="77777777" w:rsidTr="00A3447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5" w:type="dxa"/>
          </w:tcPr>
          <w:p w14:paraId="46A60463" w14:textId="264FA101" w:rsidR="001C3053" w:rsidRPr="00856D99" w:rsidRDefault="00B5619F" w:rsidP="00B56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561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Hypoglycemia </w:t>
            </w:r>
            <w:r w:rsidR="001C3053"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B5619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level</w:t>
            </w:r>
            <w:r w:rsidR="001C3053"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abs</w:t>
            </w:r>
            <w:r w:rsidR="001C3053"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262" w:type="dxa"/>
          </w:tcPr>
          <w:p w14:paraId="6A032287" w14:textId="41CF8488" w:rsidR="001C3053" w:rsidRPr="00856D99" w:rsidRDefault="001C3053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8 (67)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</w:tcPr>
          <w:p w14:paraId="155089B6" w14:textId="511C1B8A" w:rsidR="001C3053" w:rsidRPr="00856D99" w:rsidRDefault="001C3053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6 (21)</w:t>
            </w:r>
          </w:p>
        </w:tc>
        <w:tc>
          <w:tcPr>
            <w:tcW w:w="1277" w:type="dxa"/>
          </w:tcPr>
          <w:p w14:paraId="4DBFB779" w14:textId="3E595792" w:rsidR="001C3053" w:rsidRPr="00856D99" w:rsidRDefault="001C3053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0,020</w:t>
            </w:r>
          </w:p>
        </w:tc>
      </w:tr>
      <w:tr w:rsidR="001C3053" w:rsidRPr="00856D99" w14:paraId="06ACD66B" w14:textId="77777777" w:rsidTr="00A3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5" w:type="dxa"/>
          </w:tcPr>
          <w:p w14:paraId="305E1E9B" w14:textId="427A5D87" w:rsidR="001C3053" w:rsidRPr="00856D99" w:rsidRDefault="00B5619F" w:rsidP="00B561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561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Hypoglycemia </w:t>
            </w:r>
            <w:r w:rsidR="001C3053"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B5619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rd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level</w:t>
            </w:r>
            <w:r w:rsidR="001C3053"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abs</w:t>
            </w:r>
            <w:r w:rsidR="001C3053"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262" w:type="dxa"/>
          </w:tcPr>
          <w:p w14:paraId="25C8F14F" w14:textId="7229FA80" w:rsidR="001C3053" w:rsidRPr="00856D99" w:rsidRDefault="001C3053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</w:tcPr>
          <w:p w14:paraId="28DE24BD" w14:textId="4F7BF816" w:rsidR="001C3053" w:rsidRPr="00856D99" w:rsidRDefault="001C3053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277" w:type="dxa"/>
          </w:tcPr>
          <w:p w14:paraId="6D34339C" w14:textId="61E939EF" w:rsidR="001C3053" w:rsidRPr="00856D99" w:rsidRDefault="001C3053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1C3053" w:rsidRPr="00856D99" w14:paraId="2825E8EB" w14:textId="77777777" w:rsidTr="00A3447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5" w:type="dxa"/>
          </w:tcPr>
          <w:p w14:paraId="2FAA8C55" w14:textId="261381E5" w:rsidR="001C3053" w:rsidRPr="00856D99" w:rsidRDefault="007B74E6" w:rsidP="00856D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P</w:t>
            </w:r>
            <w:r w:rsidRPr="007B74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rolonged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</w:t>
            </w:r>
            <w:r w:rsidRPr="00B561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ypoglycemia</w:t>
            </w:r>
          </w:p>
        </w:tc>
        <w:tc>
          <w:tcPr>
            <w:tcW w:w="2262" w:type="dxa"/>
          </w:tcPr>
          <w:p w14:paraId="3CD65AF7" w14:textId="4D39D7CC" w:rsidR="001C3053" w:rsidRPr="00856D99" w:rsidRDefault="001C3053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 (17)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</w:tcPr>
          <w:p w14:paraId="066C9784" w14:textId="3F188E38" w:rsidR="001C3053" w:rsidRPr="00856D99" w:rsidRDefault="001C3053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277" w:type="dxa"/>
          </w:tcPr>
          <w:p w14:paraId="0EFD5801" w14:textId="2C14BD68" w:rsidR="001C3053" w:rsidRPr="00856D99" w:rsidRDefault="001C3053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1C3053" w:rsidRPr="00856D99" w14:paraId="20A39C3C" w14:textId="77777777" w:rsidTr="00A344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5" w:type="dxa"/>
          </w:tcPr>
          <w:p w14:paraId="51654EF2" w14:textId="1ACADFB9" w:rsidR="001C3053" w:rsidRPr="00856D99" w:rsidRDefault="006A050B" w:rsidP="006A05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Pr="006A05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symptomatic nocturnal hypoglycemia</w:t>
            </w:r>
            <w:r w:rsidR="001C3053"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abs</w:t>
            </w:r>
            <w:r w:rsidR="001C3053"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262" w:type="dxa"/>
          </w:tcPr>
          <w:p w14:paraId="36927002" w14:textId="19491A04" w:rsidR="001C3053" w:rsidRPr="00856D99" w:rsidRDefault="001C3053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11 (90)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2" w:type="dxa"/>
          </w:tcPr>
          <w:p w14:paraId="2ADFCB41" w14:textId="2477DAE1" w:rsidR="001C3053" w:rsidRPr="00856D99" w:rsidRDefault="001C3053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13 (46)</w:t>
            </w:r>
          </w:p>
        </w:tc>
        <w:tc>
          <w:tcPr>
            <w:tcW w:w="1277" w:type="dxa"/>
          </w:tcPr>
          <w:p w14:paraId="66853DE0" w14:textId="2514B1E5" w:rsidR="001C3053" w:rsidRPr="00856D99" w:rsidRDefault="001C3053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0,012</w:t>
            </w:r>
          </w:p>
        </w:tc>
      </w:tr>
    </w:tbl>
    <w:p w14:paraId="1457DD60" w14:textId="420B3D5D" w:rsidR="001C3053" w:rsidRPr="00B61868" w:rsidRDefault="00856D99" w:rsidP="00856D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Cs w:val="20"/>
          <w:lang w:val="en-GB"/>
        </w:rPr>
      </w:pPr>
      <w:r w:rsidRPr="00B61868">
        <w:rPr>
          <w:rFonts w:ascii="Times New Roman" w:eastAsia="Times New Roman" w:hAnsi="Times New Roman" w:cs="Times New Roman"/>
          <w:b/>
          <w:bCs/>
          <w:i/>
          <w:szCs w:val="20"/>
          <w:lang w:val="en-GB"/>
        </w:rPr>
        <w:t>Note.</w:t>
      </w:r>
      <w:r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 xml:space="preserve"> </w:t>
      </w:r>
      <w:r w:rsidR="00653EFE"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>1</w:t>
      </w:r>
      <w:r w:rsidR="00653EFE" w:rsidRPr="00B61868">
        <w:rPr>
          <w:rFonts w:ascii="Times New Roman" w:eastAsia="Times New Roman" w:hAnsi="Times New Roman" w:cs="Times New Roman"/>
          <w:bCs/>
          <w:i/>
          <w:szCs w:val="20"/>
          <w:vertAlign w:val="superscript"/>
          <w:lang w:val="en-GB"/>
        </w:rPr>
        <w:t>st</w:t>
      </w:r>
      <w:r w:rsidR="00653EFE"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 xml:space="preserve"> </w:t>
      </w:r>
      <w:r w:rsidR="00653EFE" w:rsidRPr="00B61868">
        <w:rPr>
          <w:rFonts w:ascii="Times New Roman" w:eastAsia="Times New Roman" w:hAnsi="Times New Roman" w:cs="Times New Roman"/>
          <w:bCs/>
          <w:i/>
          <w:szCs w:val="20"/>
          <w:lang w:val="en-US"/>
        </w:rPr>
        <w:t>level</w:t>
      </w:r>
      <w:r w:rsidR="00A7012F"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 xml:space="preserve"> (≥ 3.0 and ≤3.9 </w:t>
      </w:r>
      <w:r w:rsidR="00653EFE"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>mmol/L), 2</w:t>
      </w:r>
      <w:r w:rsidR="00653EFE" w:rsidRPr="00B61868">
        <w:rPr>
          <w:rFonts w:ascii="Times New Roman" w:eastAsia="Times New Roman" w:hAnsi="Times New Roman" w:cs="Times New Roman"/>
          <w:bCs/>
          <w:i/>
          <w:szCs w:val="20"/>
          <w:vertAlign w:val="superscript"/>
          <w:lang w:val="en-GB"/>
        </w:rPr>
        <w:t>nd</w:t>
      </w:r>
      <w:r w:rsidR="00653EFE"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 xml:space="preserve"> </w:t>
      </w:r>
      <w:r w:rsidR="00653EFE" w:rsidRPr="00B61868">
        <w:rPr>
          <w:rFonts w:ascii="Times New Roman" w:eastAsia="Times New Roman" w:hAnsi="Times New Roman" w:cs="Times New Roman"/>
          <w:bCs/>
          <w:i/>
          <w:szCs w:val="20"/>
          <w:lang w:val="en-US"/>
        </w:rPr>
        <w:t>level</w:t>
      </w:r>
      <w:r w:rsidR="00A7012F"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 xml:space="preserve"> (≥ 2.2 and &lt;3.0 </w:t>
      </w:r>
      <w:r w:rsidR="00653EFE"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>mmol/L) or 3</w:t>
      </w:r>
      <w:r w:rsidR="00653EFE" w:rsidRPr="00B61868">
        <w:rPr>
          <w:rFonts w:ascii="Times New Roman" w:eastAsia="Times New Roman" w:hAnsi="Times New Roman" w:cs="Times New Roman"/>
          <w:bCs/>
          <w:i/>
          <w:szCs w:val="20"/>
          <w:vertAlign w:val="superscript"/>
          <w:lang w:val="en-GB"/>
        </w:rPr>
        <w:t>rd</w:t>
      </w:r>
      <w:r w:rsidR="00653EFE"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 xml:space="preserve"> </w:t>
      </w:r>
      <w:r w:rsidR="00653EFE" w:rsidRPr="00B61868">
        <w:rPr>
          <w:rFonts w:ascii="Times New Roman" w:eastAsia="Times New Roman" w:hAnsi="Times New Roman" w:cs="Times New Roman"/>
          <w:bCs/>
          <w:i/>
          <w:szCs w:val="20"/>
          <w:lang w:val="en-US"/>
        </w:rPr>
        <w:t>level</w:t>
      </w:r>
      <w:r w:rsidR="00653EFE"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 xml:space="preserve"> (≤ 3.9 mmol/L along with cognitive defects and the need of acute hypoglycemia treatment)</w:t>
      </w:r>
      <w:r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 xml:space="preserve">, </w:t>
      </w:r>
      <w:r w:rsidR="00653EFE"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 xml:space="preserve">prolonged </w:t>
      </w:r>
      <w:r w:rsidR="00653EFE" w:rsidRPr="00B61868">
        <w:rPr>
          <w:rFonts w:ascii="Times New Roman" w:eastAsia="Times New Roman" w:hAnsi="Times New Roman" w:cs="Times New Roman"/>
          <w:bCs/>
          <w:i/>
          <w:szCs w:val="20"/>
          <w:lang w:val="en-US"/>
        </w:rPr>
        <w:t>hypoglycemia</w:t>
      </w:r>
      <w:r w:rsidR="00A7012F"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 xml:space="preserve"> (&lt; 3.0 mmol/L and ≥120 </w:t>
      </w:r>
      <w:r w:rsidR="00653EFE"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 xml:space="preserve">min), asymptomatic </w:t>
      </w:r>
      <w:r w:rsidR="00653EFE" w:rsidRPr="00B61868">
        <w:rPr>
          <w:rFonts w:ascii="Times New Roman" w:eastAsia="Times New Roman" w:hAnsi="Times New Roman" w:cs="Times New Roman"/>
          <w:bCs/>
          <w:i/>
          <w:szCs w:val="20"/>
          <w:lang w:val="en-US"/>
        </w:rPr>
        <w:t>nocturnal hypoglycemia</w:t>
      </w:r>
      <w:r w:rsidR="00653EFE"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 xml:space="preserve"> (≤ 3.9 mmol/L and no adrenergic symptoms of</w:t>
      </w:r>
      <w:r w:rsidR="00653EFE" w:rsidRPr="00B61868">
        <w:rPr>
          <w:rFonts w:ascii="Times New Roman" w:eastAsia="Times New Roman" w:hAnsi="Times New Roman" w:cs="Times New Roman"/>
          <w:bCs/>
          <w:i/>
          <w:szCs w:val="20"/>
          <w:lang w:val="en-US"/>
        </w:rPr>
        <w:t xml:space="preserve"> hypoglycemia</w:t>
      </w:r>
      <w:r w:rsidR="00653EFE"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>)</w:t>
      </w:r>
      <w:r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>.</w:t>
      </w:r>
    </w:p>
    <w:p w14:paraId="43696CE4" w14:textId="77777777" w:rsidR="00856D99" w:rsidRPr="00856D99" w:rsidRDefault="00856D99" w:rsidP="00856D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</w:p>
    <w:p w14:paraId="3E834A1C" w14:textId="7246A2AB" w:rsidR="00856D99" w:rsidRPr="00B61868" w:rsidRDefault="00A7012F" w:rsidP="00856D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</w:pPr>
      <w:r w:rsidRPr="00B61868">
        <w:rPr>
          <w:rFonts w:ascii="Times New Roman" w:eastAsia="Times New Roman" w:hAnsi="Times New Roman" w:cs="Times New Roman"/>
          <w:b/>
          <w:bCs/>
          <w:sz w:val="24"/>
          <w:szCs w:val="20"/>
          <w:lang w:val="en-GB"/>
        </w:rPr>
        <w:t>Table </w:t>
      </w:r>
      <w:r w:rsidR="00856D99" w:rsidRPr="00B61868">
        <w:rPr>
          <w:rFonts w:ascii="Times New Roman" w:eastAsia="Times New Roman" w:hAnsi="Times New Roman" w:cs="Times New Roman"/>
          <w:b/>
          <w:bCs/>
          <w:sz w:val="24"/>
          <w:szCs w:val="20"/>
          <w:lang w:val="en-GB"/>
        </w:rPr>
        <w:t>2.</w:t>
      </w:r>
      <w:r w:rsidR="00856D99"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r w:rsidR="0033627B"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The indexes</w:t>
      </w:r>
      <w:r w:rsidR="00856D99"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r w:rsidR="0033627B"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of heart rate variability according to the data from Holter monitoring </w:t>
      </w:r>
      <w:r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of patients with T1D</w:t>
      </w:r>
    </w:p>
    <w:tbl>
      <w:tblPr>
        <w:tblStyle w:val="af4"/>
        <w:tblW w:w="9356" w:type="dxa"/>
        <w:tblLayout w:type="fixed"/>
        <w:tblLook w:val="0000" w:firstRow="0" w:lastRow="0" w:firstColumn="0" w:lastColumn="0" w:noHBand="0" w:noVBand="0"/>
      </w:tblPr>
      <w:tblGrid>
        <w:gridCol w:w="3560"/>
        <w:gridCol w:w="2270"/>
        <w:gridCol w:w="2270"/>
        <w:gridCol w:w="1256"/>
      </w:tblGrid>
      <w:tr w:rsidR="00856D99" w:rsidRPr="00FD0337" w14:paraId="7E658B78" w14:textId="77777777" w:rsidTr="00A7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1" w:type="dxa"/>
          </w:tcPr>
          <w:p w14:paraId="127B5AA5" w14:textId="6E11D0F9" w:rsidR="00856D99" w:rsidRPr="00FD0337" w:rsidRDefault="00FD0337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Indexes</w:t>
            </w:r>
          </w:p>
        </w:tc>
        <w:tc>
          <w:tcPr>
            <w:tcW w:w="2704" w:type="dxa"/>
          </w:tcPr>
          <w:p w14:paraId="21512F3B" w14:textId="4D44D0E2" w:rsidR="00856D99" w:rsidRPr="00FD0337" w:rsidRDefault="00A7012F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Patients with </w:t>
            </w:r>
            <w:r w:rsidRPr="00A7012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QTc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 &gt;450 </w:t>
            </w:r>
            <w:r w:rsidRPr="00A7012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=</w:t>
            </w:r>
            <w:r w:rsidR="00856D99" w:rsidRPr="00FD0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</w:tcPr>
          <w:p w14:paraId="428DA241" w14:textId="2A728E26" w:rsidR="00856D99" w:rsidRPr="00FD0337" w:rsidRDefault="00A7012F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Patients with </w:t>
            </w:r>
            <w:r w:rsidRPr="00A7012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QTc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 ≤450 </w:t>
            </w:r>
            <w:r w:rsidRPr="00A7012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 =</w:t>
            </w:r>
            <w:r w:rsidR="00856D99" w:rsidRPr="00FD0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72</w:t>
            </w:r>
          </w:p>
        </w:tc>
        <w:tc>
          <w:tcPr>
            <w:tcW w:w="1474" w:type="dxa"/>
          </w:tcPr>
          <w:p w14:paraId="4E967DD1" w14:textId="6102BDA3" w:rsidR="00856D99" w:rsidRPr="00A7012F" w:rsidRDefault="00856D99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A7012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р</w:t>
            </w:r>
          </w:p>
        </w:tc>
      </w:tr>
      <w:tr w:rsidR="00856D99" w:rsidRPr="00FD0337" w14:paraId="50F49635" w14:textId="77777777" w:rsidTr="00A7012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1" w:type="dxa"/>
          </w:tcPr>
          <w:p w14:paraId="7C5DDDA8" w14:textId="77777777" w:rsidR="00F12E74" w:rsidRDefault="00856D99" w:rsidP="00FD0337">
            <w:pPr>
              <w:spacing w:after="0" w:line="240" w:lineRule="auto"/>
              <w:jc w:val="both"/>
              <w:rPr>
                <w:rFonts w:ascii="MS Mincho" w:eastAsia="MS Mincho" w:hAnsi="MS Mincho" w:cs="MS Mincho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SDNN, </w:t>
            </w:r>
            <w:proofErr w:type="spellStart"/>
            <w:r w:rsidR="00D826C6"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proofErr w:type="spellEnd"/>
          </w:p>
          <w:p w14:paraId="18A484EA" w14:textId="380D6A2C" w:rsidR="00856D99" w:rsidRPr="00FD0337" w:rsidRDefault="00A7012F" w:rsidP="00FD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&lt;101 </w:t>
            </w:r>
            <w:proofErr w:type="spellStart"/>
            <w:r w:rsidR="00D826C6"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proofErr w:type="spellEnd"/>
            <w:r w:rsidR="00856D99"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="00D826C6"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abs</w:t>
            </w:r>
            <w:r w:rsidR="00856D99"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704" w:type="dxa"/>
          </w:tcPr>
          <w:p w14:paraId="46CEB59B" w14:textId="77777777" w:rsidR="00F12E74" w:rsidRDefault="00F12E74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97,4 (85,0; 138,0)</w:t>
            </w:r>
          </w:p>
          <w:p w14:paraId="7A8BC478" w14:textId="0319DA19" w:rsidR="00856D99" w:rsidRPr="00FD0337" w:rsidRDefault="00856D99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14 (50)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</w:tcPr>
          <w:p w14:paraId="6B711A65" w14:textId="77777777" w:rsidR="00F12E74" w:rsidRDefault="00F12E74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148,2 (125,5; 177,1)</w:t>
            </w:r>
          </w:p>
          <w:p w14:paraId="5EFD2A06" w14:textId="6D0E75A5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474" w:type="dxa"/>
          </w:tcPr>
          <w:p w14:paraId="409794EE" w14:textId="77777777" w:rsidR="00856D99" w:rsidRDefault="00A7012F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0,024</w:t>
            </w:r>
          </w:p>
          <w:p w14:paraId="314220E4" w14:textId="12393E56" w:rsidR="00F12E74" w:rsidRPr="00FD0337" w:rsidRDefault="00F12E74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856D99" w:rsidRPr="00FD0337" w14:paraId="3AE78A5F" w14:textId="77777777" w:rsidTr="00A7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1" w:type="dxa"/>
          </w:tcPr>
          <w:p w14:paraId="512C1596" w14:textId="77777777" w:rsidR="00F12E74" w:rsidRDefault="00856D99" w:rsidP="00FD0337">
            <w:pPr>
              <w:spacing w:after="0" w:line="240" w:lineRule="auto"/>
              <w:jc w:val="both"/>
              <w:rPr>
                <w:rFonts w:ascii="MS Mincho" w:eastAsia="MS Mincho" w:hAnsi="MS Mincho" w:cs="MS Mincho"/>
                <w:bCs/>
                <w:sz w:val="20"/>
                <w:szCs w:val="20"/>
                <w:lang w:val="en-US"/>
              </w:rPr>
            </w:pPr>
            <w:proofErr w:type="spellStart"/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SDNNi</w:t>
            </w:r>
            <w:proofErr w:type="spellEnd"/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826C6"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proofErr w:type="spellEnd"/>
          </w:p>
          <w:p w14:paraId="52333EC1" w14:textId="2344FA21" w:rsidR="00856D99" w:rsidRPr="00FD0337" w:rsidRDefault="00A7012F" w:rsidP="00FD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&lt;48 </w:t>
            </w:r>
            <w:proofErr w:type="spellStart"/>
            <w:r w:rsidR="00D826C6"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proofErr w:type="spellEnd"/>
            <w:r w:rsidR="00856D99"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="00D826C6"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abs</w:t>
            </w:r>
            <w:r w:rsidR="00856D99"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704" w:type="dxa"/>
          </w:tcPr>
          <w:p w14:paraId="6432D9BA" w14:textId="77777777" w:rsidR="00F12E74" w:rsidRDefault="00F12E74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84,7 (78,8; 89,2)</w:t>
            </w:r>
          </w:p>
          <w:p w14:paraId="12FB413E" w14:textId="0DD79B60" w:rsidR="00856D99" w:rsidRPr="00FD0337" w:rsidRDefault="00856D99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16 (57)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</w:tcPr>
          <w:p w14:paraId="713C4763" w14:textId="77777777" w:rsidR="00F12E74" w:rsidRDefault="00F12E74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87,8 (70,1; 101,4)</w:t>
            </w:r>
          </w:p>
          <w:p w14:paraId="4C0293CE" w14:textId="308B99AD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10 (14)</w:t>
            </w:r>
          </w:p>
        </w:tc>
        <w:tc>
          <w:tcPr>
            <w:tcW w:w="1474" w:type="dxa"/>
          </w:tcPr>
          <w:p w14:paraId="6E992222" w14:textId="77777777" w:rsidR="00F12E74" w:rsidRDefault="00F12E74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0,681</w:t>
            </w:r>
          </w:p>
          <w:p w14:paraId="19ED2D17" w14:textId="03BF6C7D" w:rsidR="00856D99" w:rsidRPr="00FD0337" w:rsidRDefault="00856D99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0,001</w:t>
            </w:r>
          </w:p>
        </w:tc>
      </w:tr>
      <w:tr w:rsidR="00856D99" w:rsidRPr="00FD0337" w14:paraId="3E1B0BCA" w14:textId="77777777" w:rsidTr="00A7012F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1" w:type="dxa"/>
          </w:tcPr>
          <w:p w14:paraId="351E669E" w14:textId="77777777" w:rsidR="00F12E74" w:rsidRDefault="00856D99" w:rsidP="00FD0337">
            <w:pPr>
              <w:spacing w:after="0" w:line="240" w:lineRule="auto"/>
              <w:jc w:val="both"/>
              <w:rPr>
                <w:rFonts w:ascii="MS Mincho" w:eastAsia="MS Mincho" w:hAnsi="MS Mincho" w:cs="MS Mincho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SDANN, </w:t>
            </w:r>
            <w:proofErr w:type="spellStart"/>
            <w:r w:rsidR="00D826C6"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proofErr w:type="spellEnd"/>
          </w:p>
          <w:p w14:paraId="5FB42F22" w14:textId="6A537B3C" w:rsidR="00856D99" w:rsidRPr="00FD0337" w:rsidRDefault="00A7012F" w:rsidP="00FD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&lt;85 </w:t>
            </w:r>
            <w:proofErr w:type="spellStart"/>
            <w:r w:rsidR="00D826C6"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proofErr w:type="spellEnd"/>
            <w:r w:rsidR="00856D99"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="00D826C6"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abs</w:t>
            </w:r>
            <w:r w:rsidR="00856D99"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704" w:type="dxa"/>
          </w:tcPr>
          <w:p w14:paraId="09C23EBC" w14:textId="77777777" w:rsidR="00F12E74" w:rsidRDefault="00F12E74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47,6 (41,6; 115,7)</w:t>
            </w:r>
          </w:p>
          <w:p w14:paraId="1E811647" w14:textId="7BED5C41" w:rsidR="00856D99" w:rsidRPr="00FD0337" w:rsidRDefault="00856D99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18 (64)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</w:tcPr>
          <w:p w14:paraId="5DB90F0D" w14:textId="77777777" w:rsidR="00F12E74" w:rsidRDefault="00F12E74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124,7 (109,2; 145,3)</w:t>
            </w:r>
          </w:p>
          <w:p w14:paraId="59405CFC" w14:textId="1F835F1C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24 (33)</w:t>
            </w:r>
          </w:p>
        </w:tc>
        <w:tc>
          <w:tcPr>
            <w:tcW w:w="1474" w:type="dxa"/>
          </w:tcPr>
          <w:p w14:paraId="024E07F4" w14:textId="77777777" w:rsidR="00F12E74" w:rsidRDefault="00F12E74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0,004</w:t>
            </w:r>
          </w:p>
          <w:p w14:paraId="153C1C6C" w14:textId="0693D1D1" w:rsidR="00856D99" w:rsidRPr="00FD0337" w:rsidRDefault="00856D99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0,005</w:t>
            </w:r>
          </w:p>
        </w:tc>
      </w:tr>
      <w:tr w:rsidR="00856D99" w:rsidRPr="00FD0337" w14:paraId="69560A25" w14:textId="77777777" w:rsidTr="00A7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1" w:type="dxa"/>
          </w:tcPr>
          <w:p w14:paraId="16B43AB6" w14:textId="77777777" w:rsidR="00F12E74" w:rsidRDefault="00856D99" w:rsidP="00FD0337">
            <w:pPr>
              <w:spacing w:after="0" w:line="240" w:lineRule="auto"/>
              <w:jc w:val="both"/>
              <w:rPr>
                <w:rFonts w:ascii="MS Mincho" w:eastAsia="MS Mincho" w:hAnsi="MS Mincho" w:cs="MS Mincho"/>
                <w:bCs/>
                <w:sz w:val="20"/>
                <w:szCs w:val="20"/>
                <w:lang w:val="en-US"/>
              </w:rPr>
            </w:pPr>
            <w:proofErr w:type="spellStart"/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rMSSD</w:t>
            </w:r>
            <w:proofErr w:type="spellEnd"/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D826C6"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proofErr w:type="spellEnd"/>
          </w:p>
          <w:p w14:paraId="2EA012D6" w14:textId="1B3D176F" w:rsidR="00856D99" w:rsidRPr="00FD0337" w:rsidRDefault="00A7012F" w:rsidP="00FD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&lt;25 </w:t>
            </w:r>
            <w:proofErr w:type="spellStart"/>
            <w:r w:rsidR="00D826C6"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ms</w:t>
            </w:r>
            <w:proofErr w:type="spellEnd"/>
            <w:r w:rsidR="00856D99"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="00D826C6"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abs</w:t>
            </w:r>
            <w:r w:rsidR="00856D99"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(%)</w:t>
            </w:r>
          </w:p>
        </w:tc>
        <w:tc>
          <w:tcPr>
            <w:tcW w:w="2704" w:type="dxa"/>
          </w:tcPr>
          <w:p w14:paraId="40ABFE96" w14:textId="77777777" w:rsidR="00F12E74" w:rsidRDefault="00F12E74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28,1 (22,0; 64,6)</w:t>
            </w:r>
          </w:p>
          <w:p w14:paraId="4DFF5609" w14:textId="2152A160" w:rsidR="00856D99" w:rsidRPr="00FD0337" w:rsidRDefault="00856D99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14 (50)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</w:tcPr>
          <w:p w14:paraId="0D95DEC8" w14:textId="77777777" w:rsidR="00F12E74" w:rsidRDefault="00F12E74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52,6 (42,3; 79,8)</w:t>
            </w:r>
          </w:p>
          <w:p w14:paraId="57947D3F" w14:textId="4990519B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6 (8)</w:t>
            </w:r>
          </w:p>
        </w:tc>
        <w:tc>
          <w:tcPr>
            <w:tcW w:w="1474" w:type="dxa"/>
          </w:tcPr>
          <w:p w14:paraId="08C748C8" w14:textId="77777777" w:rsidR="00F12E74" w:rsidRDefault="00F12E74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0,004</w:t>
            </w:r>
          </w:p>
          <w:p w14:paraId="7695BBE4" w14:textId="603FCD50" w:rsidR="00856D99" w:rsidRPr="00FD0337" w:rsidRDefault="00856D99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0,001</w:t>
            </w:r>
          </w:p>
        </w:tc>
      </w:tr>
    </w:tbl>
    <w:p w14:paraId="4DBEE17F" w14:textId="77777777" w:rsidR="00856D99" w:rsidRPr="00856D99" w:rsidRDefault="00856D99" w:rsidP="00856D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</w:p>
    <w:p w14:paraId="09D4772E" w14:textId="4D60736A" w:rsidR="001C3053" w:rsidRPr="00B61868" w:rsidRDefault="00B61868" w:rsidP="00856D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</w:pPr>
      <w:r w:rsidRPr="00B61868">
        <w:rPr>
          <w:rFonts w:ascii="Times New Roman" w:eastAsia="Times New Roman" w:hAnsi="Times New Roman" w:cs="Times New Roman"/>
          <w:b/>
          <w:bCs/>
          <w:sz w:val="24"/>
          <w:szCs w:val="20"/>
          <w:lang w:val="en-GB"/>
        </w:rPr>
        <w:t>Table </w:t>
      </w:r>
      <w:r w:rsidR="00856D99" w:rsidRPr="00B61868">
        <w:rPr>
          <w:rFonts w:ascii="Times New Roman" w:eastAsia="Times New Roman" w:hAnsi="Times New Roman" w:cs="Times New Roman"/>
          <w:b/>
          <w:bCs/>
          <w:sz w:val="24"/>
          <w:szCs w:val="20"/>
          <w:lang w:val="en-GB"/>
        </w:rPr>
        <w:t>3.</w:t>
      </w:r>
      <w:r w:rsidR="00856D99"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r w:rsidR="0033627B"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The r</w:t>
      </w:r>
      <w:r w:rsidR="002155E7"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esults of multivariate</w:t>
      </w:r>
      <w:r w:rsidR="00856D99"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r w:rsidR="002155E7"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logistic regression of risk factors</w:t>
      </w:r>
      <w:r w:rsidR="00856D99"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r w:rsidR="002155E7"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associated with</w:t>
      </w:r>
      <w:r w:rsidR="00856D99"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r w:rsidR="002155E7" w:rsidRPr="00B61868">
        <w:rPr>
          <w:rFonts w:ascii="Times New Roman" w:eastAsia="Times New Roman" w:hAnsi="Times New Roman" w:cs="Times New Roman"/>
          <w:bCs/>
          <w:i/>
          <w:sz w:val="24"/>
          <w:szCs w:val="20"/>
          <w:lang w:val="en-GB"/>
        </w:rPr>
        <w:t>QTc</w:t>
      </w:r>
      <w:r w:rsidR="00856D99"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 </w:t>
      </w:r>
      <w:r w:rsidR="002155E7"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 xml:space="preserve">elongation </w:t>
      </w:r>
      <w:r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&gt;450 </w:t>
      </w:r>
      <w:proofErr w:type="spellStart"/>
      <w:r w:rsidR="002155E7" w:rsidRPr="00B61868">
        <w:rPr>
          <w:rFonts w:ascii="Times New Roman" w:eastAsia="Times New Roman" w:hAnsi="Times New Roman" w:cs="Times New Roman"/>
          <w:bCs/>
          <w:sz w:val="24"/>
          <w:szCs w:val="20"/>
          <w:lang w:val="en-GB"/>
        </w:rPr>
        <w:t>ms</w:t>
      </w:r>
      <w:proofErr w:type="spellEnd"/>
    </w:p>
    <w:tbl>
      <w:tblPr>
        <w:tblStyle w:val="af4"/>
        <w:tblW w:w="0" w:type="auto"/>
        <w:tblLayout w:type="fixed"/>
        <w:tblLook w:val="0000" w:firstRow="0" w:lastRow="0" w:firstColumn="0" w:lastColumn="0" w:noHBand="0" w:noVBand="0"/>
      </w:tblPr>
      <w:tblGrid>
        <w:gridCol w:w="2912"/>
        <w:gridCol w:w="1498"/>
        <w:gridCol w:w="1498"/>
        <w:gridCol w:w="1498"/>
        <w:gridCol w:w="1498"/>
      </w:tblGrid>
      <w:tr w:rsidR="00856D99" w:rsidRPr="00FD0337" w14:paraId="1C2951E7" w14:textId="77777777" w:rsidTr="00B61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</w:tcPr>
          <w:p w14:paraId="0E6972C1" w14:textId="73207109" w:rsidR="00856D99" w:rsidRPr="00FD0337" w:rsidRDefault="00FD0337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Indexes</w:t>
            </w:r>
          </w:p>
        </w:tc>
        <w:tc>
          <w:tcPr>
            <w:tcW w:w="1498" w:type="dxa"/>
          </w:tcPr>
          <w:p w14:paraId="7E640DA2" w14:textId="2DCA9216" w:rsidR="00856D99" w:rsidRPr="00FD0337" w:rsidRDefault="00FD0337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14:paraId="5F6BF08B" w14:textId="453691DC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95% </w:t>
            </w:r>
            <w:r w:rsidR="00FD0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</w:t>
            </w:r>
          </w:p>
        </w:tc>
        <w:tc>
          <w:tcPr>
            <w:tcW w:w="1498" w:type="dxa"/>
          </w:tcPr>
          <w:p w14:paraId="4AF7E587" w14:textId="6A52B395" w:rsidR="00856D99" w:rsidRPr="00FD0337" w:rsidRDefault="00FD0337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χ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14:paraId="232D4E80" w14:textId="662F4B75" w:rsidR="00856D99" w:rsidRPr="00B61868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</w:pPr>
            <w:r w:rsidRPr="00B61868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р</w:t>
            </w:r>
          </w:p>
        </w:tc>
      </w:tr>
      <w:tr w:rsidR="00856D99" w:rsidRPr="00FD0337" w14:paraId="138EA54F" w14:textId="77777777" w:rsidTr="00B6186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</w:tcPr>
          <w:p w14:paraId="7837D6BE" w14:textId="51BBFF02" w:rsidR="00856D99" w:rsidRPr="00FD0337" w:rsidRDefault="00FD0337" w:rsidP="00FD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D</w:t>
            </w:r>
            <w:r w:rsidRPr="00B561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uration of a disease</w:t>
            </w: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years</w:t>
            </w:r>
          </w:p>
        </w:tc>
        <w:tc>
          <w:tcPr>
            <w:tcW w:w="1498" w:type="dxa"/>
          </w:tcPr>
          <w:p w14:paraId="11363056" w14:textId="13D42BC3" w:rsidR="00856D99" w:rsidRPr="00FD0337" w:rsidRDefault="00856D99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1,25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14:paraId="66E909B7" w14:textId="4D9F9701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1,04–1,50</w:t>
            </w:r>
          </w:p>
        </w:tc>
        <w:tc>
          <w:tcPr>
            <w:tcW w:w="1498" w:type="dxa"/>
          </w:tcPr>
          <w:p w14:paraId="15268D58" w14:textId="7E70DFEB" w:rsidR="00856D99" w:rsidRPr="00FD0337" w:rsidRDefault="00856D99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4,02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14:paraId="030936F9" w14:textId="4B4B436A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0,029</w:t>
            </w:r>
          </w:p>
        </w:tc>
      </w:tr>
      <w:tr w:rsidR="00856D99" w:rsidRPr="00FD0337" w14:paraId="230615D2" w14:textId="77777777" w:rsidTr="00B61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</w:tcPr>
          <w:p w14:paraId="626879AD" w14:textId="09A8EA86" w:rsidR="00856D99" w:rsidRPr="00FD0337" w:rsidRDefault="00FD0337" w:rsidP="00FD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Hypoglycemia (1</w:t>
            </w: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st</w:t>
            </w: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level)</w:t>
            </w:r>
          </w:p>
        </w:tc>
        <w:tc>
          <w:tcPr>
            <w:tcW w:w="1498" w:type="dxa"/>
          </w:tcPr>
          <w:p w14:paraId="5D10D89C" w14:textId="6548C042" w:rsidR="00856D99" w:rsidRPr="00FD0337" w:rsidRDefault="00856D99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14:paraId="6A52AEB0" w14:textId="33049A4A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0,04–0,80</w:t>
            </w:r>
          </w:p>
        </w:tc>
        <w:tc>
          <w:tcPr>
            <w:tcW w:w="1498" w:type="dxa"/>
          </w:tcPr>
          <w:p w14:paraId="010483DD" w14:textId="529FDB74" w:rsidR="00856D99" w:rsidRPr="00FD0337" w:rsidRDefault="00856D99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3,41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14:paraId="2543544F" w14:textId="59B2D16C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0,007</w:t>
            </w:r>
          </w:p>
        </w:tc>
      </w:tr>
      <w:tr w:rsidR="00856D99" w:rsidRPr="00FD0337" w14:paraId="718EB081" w14:textId="77777777" w:rsidTr="00B6186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</w:tcPr>
          <w:p w14:paraId="3B7FE455" w14:textId="529E5D54" w:rsidR="00856D99" w:rsidRPr="00FD0337" w:rsidRDefault="00FD0337" w:rsidP="00FD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561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Hypoglycemia </w:t>
            </w: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 w:rsidRPr="00B5619F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level</w:t>
            </w:r>
            <w:r w:rsidRPr="00856D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498" w:type="dxa"/>
          </w:tcPr>
          <w:p w14:paraId="34675434" w14:textId="26FDCD8C" w:rsidR="00856D99" w:rsidRPr="00FD0337" w:rsidRDefault="00856D99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4,40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14:paraId="7B161D6A" w14:textId="71C33BF0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1,37–14,19</w:t>
            </w:r>
          </w:p>
        </w:tc>
        <w:tc>
          <w:tcPr>
            <w:tcW w:w="1498" w:type="dxa"/>
          </w:tcPr>
          <w:p w14:paraId="1A735323" w14:textId="69DF5C59" w:rsidR="00856D99" w:rsidRPr="00FD0337" w:rsidRDefault="00856D99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5,24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14:paraId="55492148" w14:textId="38E6AD68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0,017</w:t>
            </w:r>
          </w:p>
        </w:tc>
      </w:tr>
      <w:tr w:rsidR="00856D99" w:rsidRPr="00FD0337" w14:paraId="0A73287E" w14:textId="77777777" w:rsidTr="00B61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</w:tcPr>
          <w:p w14:paraId="0A162D8B" w14:textId="03EFFC92" w:rsidR="00856D99" w:rsidRPr="00FD0337" w:rsidRDefault="00FD0337" w:rsidP="00FD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Pr="006A05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symptomatic hypoglycemia</w:t>
            </w:r>
          </w:p>
        </w:tc>
        <w:tc>
          <w:tcPr>
            <w:tcW w:w="1498" w:type="dxa"/>
          </w:tcPr>
          <w:p w14:paraId="0FDDD789" w14:textId="3848CA46" w:rsidR="00856D99" w:rsidRPr="00FD0337" w:rsidRDefault="00856D99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14:paraId="4CA2526C" w14:textId="5B84B718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1,12–7,73</w:t>
            </w:r>
          </w:p>
        </w:tc>
        <w:tc>
          <w:tcPr>
            <w:tcW w:w="1498" w:type="dxa"/>
          </w:tcPr>
          <w:p w14:paraId="0A40E728" w14:textId="0D71017E" w:rsidR="00856D99" w:rsidRPr="00FD0337" w:rsidRDefault="00856D99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1,51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14:paraId="76F0AEE9" w14:textId="4352F638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0,003</w:t>
            </w:r>
          </w:p>
        </w:tc>
      </w:tr>
      <w:tr w:rsidR="00856D99" w:rsidRPr="00FD0337" w14:paraId="0B2F1FD8" w14:textId="77777777" w:rsidTr="00B6186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</w:tcPr>
          <w:p w14:paraId="7EE52962" w14:textId="638B536D" w:rsidR="00856D99" w:rsidRPr="00FD0337" w:rsidRDefault="00FD0337" w:rsidP="00FD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CAN</w:t>
            </w:r>
          </w:p>
        </w:tc>
        <w:tc>
          <w:tcPr>
            <w:tcW w:w="1498" w:type="dxa"/>
          </w:tcPr>
          <w:p w14:paraId="38719CF9" w14:textId="4121ED54" w:rsidR="00856D99" w:rsidRPr="00FD0337" w:rsidRDefault="00856D99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9,00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14:paraId="799FC668" w14:textId="4D9A9199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3,34–24,24</w:t>
            </w:r>
          </w:p>
        </w:tc>
        <w:tc>
          <w:tcPr>
            <w:tcW w:w="1498" w:type="dxa"/>
          </w:tcPr>
          <w:p w14:paraId="018B8EB4" w14:textId="3DD06B81" w:rsidR="00856D99" w:rsidRPr="00FD0337" w:rsidRDefault="00856D99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9,16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14:paraId="61EE39E0" w14:textId="7FB9144B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0,021</w:t>
            </w:r>
          </w:p>
        </w:tc>
      </w:tr>
      <w:tr w:rsidR="00856D99" w:rsidRPr="00FD0337" w14:paraId="7BE31987" w14:textId="77777777" w:rsidTr="00B61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</w:tcPr>
          <w:p w14:paraId="29E55BC4" w14:textId="7A4C78AE" w:rsidR="00856D99" w:rsidRPr="00FD0337" w:rsidRDefault="00856D99" w:rsidP="00FD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SDNN</w:t>
            </w:r>
          </w:p>
        </w:tc>
        <w:tc>
          <w:tcPr>
            <w:tcW w:w="1498" w:type="dxa"/>
          </w:tcPr>
          <w:p w14:paraId="5EFE2DD1" w14:textId="62BE99BA" w:rsidR="00856D99" w:rsidRPr="00FD0337" w:rsidRDefault="00856D99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14:paraId="58308CEE" w14:textId="451C71C7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0,89–0,99</w:t>
            </w:r>
          </w:p>
        </w:tc>
        <w:tc>
          <w:tcPr>
            <w:tcW w:w="1498" w:type="dxa"/>
          </w:tcPr>
          <w:p w14:paraId="599B76C7" w14:textId="6F45A6C6" w:rsidR="00856D99" w:rsidRPr="00FD0337" w:rsidRDefault="00856D99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14:paraId="3C2894D9" w14:textId="5E1BDEB5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0,037</w:t>
            </w:r>
          </w:p>
        </w:tc>
      </w:tr>
      <w:tr w:rsidR="00856D99" w:rsidRPr="00FD0337" w14:paraId="19326BFC" w14:textId="77777777" w:rsidTr="00B61868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</w:tcPr>
          <w:p w14:paraId="525741EF" w14:textId="6E3BAB6E" w:rsidR="00856D99" w:rsidRPr="00FD0337" w:rsidRDefault="00856D99" w:rsidP="00FD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SDANN</w:t>
            </w:r>
          </w:p>
        </w:tc>
        <w:tc>
          <w:tcPr>
            <w:tcW w:w="1498" w:type="dxa"/>
          </w:tcPr>
          <w:p w14:paraId="78894B42" w14:textId="022C8776" w:rsidR="00856D99" w:rsidRPr="00FD0337" w:rsidRDefault="00856D99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0,99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14:paraId="46191039" w14:textId="01556DF2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0,96–1,02</w:t>
            </w:r>
          </w:p>
        </w:tc>
        <w:tc>
          <w:tcPr>
            <w:tcW w:w="1498" w:type="dxa"/>
          </w:tcPr>
          <w:p w14:paraId="4A902E40" w14:textId="4567999C" w:rsidR="00856D99" w:rsidRPr="00FD0337" w:rsidRDefault="00856D99" w:rsidP="00FD033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14:paraId="184B3B66" w14:textId="327CC517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0,435</w:t>
            </w:r>
          </w:p>
        </w:tc>
      </w:tr>
      <w:tr w:rsidR="00856D99" w:rsidRPr="00FD0337" w14:paraId="39428974" w14:textId="77777777" w:rsidTr="00B618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</w:tcPr>
          <w:p w14:paraId="3E65514D" w14:textId="77A1DEC4" w:rsidR="00856D99" w:rsidRPr="00FD0337" w:rsidRDefault="00856D99" w:rsidP="00FD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rMSSD</w:t>
            </w:r>
            <w:proofErr w:type="spellEnd"/>
          </w:p>
        </w:tc>
        <w:tc>
          <w:tcPr>
            <w:tcW w:w="1498" w:type="dxa"/>
          </w:tcPr>
          <w:p w14:paraId="4FECDE00" w14:textId="17EBF61F" w:rsidR="00856D99" w:rsidRPr="00FD0337" w:rsidRDefault="00856D99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1,05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14:paraId="4D0D7679" w14:textId="524DD2E9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0,99–1,10</w:t>
            </w:r>
          </w:p>
        </w:tc>
        <w:tc>
          <w:tcPr>
            <w:tcW w:w="1498" w:type="dxa"/>
          </w:tcPr>
          <w:p w14:paraId="1886DCF2" w14:textId="0EA111B5" w:rsidR="00856D99" w:rsidRPr="00FD0337" w:rsidRDefault="00856D99" w:rsidP="00FD033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2,92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</w:tcPr>
          <w:p w14:paraId="08D6F35A" w14:textId="54311728" w:rsidR="00856D99" w:rsidRPr="00FD0337" w:rsidRDefault="00856D99" w:rsidP="00FD0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0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0,090</w:t>
            </w:r>
          </w:p>
        </w:tc>
      </w:tr>
    </w:tbl>
    <w:p w14:paraId="0563FB90" w14:textId="3237D3BF" w:rsidR="00856D99" w:rsidRPr="00B61868" w:rsidRDefault="00856D99" w:rsidP="00856D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Cs w:val="20"/>
          <w:lang w:val="en-GB"/>
        </w:rPr>
      </w:pPr>
      <w:r w:rsidRPr="00B61868">
        <w:rPr>
          <w:rFonts w:ascii="Times New Roman" w:eastAsia="Times New Roman" w:hAnsi="Times New Roman" w:cs="Times New Roman"/>
          <w:b/>
          <w:bCs/>
          <w:i/>
          <w:szCs w:val="20"/>
          <w:lang w:val="en-GB"/>
        </w:rPr>
        <w:t>Note.</w:t>
      </w:r>
      <w:r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 xml:space="preserve"> </w:t>
      </w:r>
      <w:r w:rsidR="00FD0337"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>OR</w:t>
      </w:r>
      <w:r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 xml:space="preserve"> — </w:t>
      </w:r>
      <w:r w:rsidR="00FD0337"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>odds ratio</w:t>
      </w:r>
      <w:r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 xml:space="preserve">, </w:t>
      </w:r>
      <w:r w:rsidR="00FD0337"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>CI</w:t>
      </w:r>
      <w:r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 xml:space="preserve"> — </w:t>
      </w:r>
      <w:r w:rsidR="00FD0337"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>confidential interval</w:t>
      </w:r>
      <w:r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 xml:space="preserve">. </w:t>
      </w:r>
      <w:r w:rsidR="00FD0337"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>Model characteristics</w:t>
      </w:r>
      <w:r w:rsidR="00B61868"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>: R2 =</w:t>
      </w:r>
      <w:r w:rsidRPr="00B61868">
        <w:rPr>
          <w:rFonts w:ascii="Times New Roman" w:eastAsia="Times New Roman" w:hAnsi="Times New Roman" w:cs="Times New Roman"/>
          <w:bCs/>
          <w:i/>
          <w:szCs w:val="20"/>
          <w:lang w:val="en-GB"/>
        </w:rPr>
        <w:t>0,71.</w:t>
      </w:r>
    </w:p>
    <w:p w14:paraId="67B67D9B" w14:textId="77777777" w:rsidR="00856D99" w:rsidRPr="00856D99" w:rsidRDefault="00856D99" w:rsidP="00856D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</w:p>
    <w:p w14:paraId="5824248F" w14:textId="77777777" w:rsidR="00A34476" w:rsidRPr="00BA4657" w:rsidRDefault="00A34476" w:rsidP="00A344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A4657">
        <w:rPr>
          <w:rFonts w:ascii="Times New Roman" w:hAnsi="Times New Roman" w:cs="Times New Roman"/>
          <w:b/>
          <w:bCs/>
          <w:sz w:val="24"/>
          <w:szCs w:val="24"/>
          <w:lang w:val="en-GB"/>
        </w:rPr>
        <w:t>FINANCING SOURCE</w:t>
      </w:r>
    </w:p>
    <w:p w14:paraId="7D9B6899" w14:textId="77777777" w:rsidR="00A34476" w:rsidRPr="00BA4657" w:rsidRDefault="00A34476" w:rsidP="00A34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E3B41">
        <w:rPr>
          <w:rFonts w:ascii="Times New Roman" w:hAnsi="Times New Roman" w:cs="Times New Roman"/>
          <w:sz w:val="24"/>
          <w:szCs w:val="24"/>
          <w:lang w:val="en-GB"/>
        </w:rPr>
        <w:t>Not specified.</w:t>
      </w:r>
    </w:p>
    <w:p w14:paraId="4E08AFF0" w14:textId="77777777" w:rsidR="00A34476" w:rsidRPr="00BA4657" w:rsidRDefault="00A34476" w:rsidP="00A34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E527BDB" w14:textId="77777777" w:rsidR="00A34476" w:rsidRPr="00BA4657" w:rsidRDefault="00A34476" w:rsidP="00A34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en-GB"/>
        </w:rPr>
      </w:pPr>
      <w:r w:rsidRPr="00BA4657">
        <w:rPr>
          <w:rFonts w:ascii="Times New Roman" w:eastAsia="Times New Roman" w:hAnsi="Times New Roman" w:cs="Times New Roman"/>
          <w:b/>
          <w:iCs/>
          <w:sz w:val="24"/>
          <w:szCs w:val="24"/>
          <w:lang w:val="en-GB"/>
        </w:rPr>
        <w:t>CONFLICT OF INTERESTS</w:t>
      </w:r>
    </w:p>
    <w:p w14:paraId="36ECE83E" w14:textId="580ECA9A" w:rsidR="001C3053" w:rsidRPr="00A34476" w:rsidRDefault="00A34476" w:rsidP="006C6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E3B4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Not declared.</w:t>
      </w:r>
    </w:p>
    <w:sectPr w:rsidR="001C3053" w:rsidRPr="00A34476" w:rsidSect="00EF2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06DB5" w14:textId="77777777" w:rsidR="00014189" w:rsidRDefault="00014189" w:rsidP="006C65E8">
      <w:pPr>
        <w:spacing w:after="0" w:line="240" w:lineRule="auto"/>
      </w:pPr>
      <w:r>
        <w:separator/>
      </w:r>
    </w:p>
  </w:endnote>
  <w:endnote w:type="continuationSeparator" w:id="0">
    <w:p w14:paraId="2FD92887" w14:textId="77777777" w:rsidR="00014189" w:rsidRDefault="00014189" w:rsidP="006C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GothicBookC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3C0B0" w14:textId="77777777" w:rsidR="00014189" w:rsidRDefault="00014189" w:rsidP="006C65E8">
      <w:pPr>
        <w:spacing w:after="0" w:line="240" w:lineRule="auto"/>
      </w:pPr>
      <w:r>
        <w:separator/>
      </w:r>
    </w:p>
  </w:footnote>
  <w:footnote w:type="continuationSeparator" w:id="0">
    <w:p w14:paraId="7B4688ED" w14:textId="77777777" w:rsidR="00014189" w:rsidRDefault="00014189" w:rsidP="006C6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180C"/>
    <w:multiLevelType w:val="hybridMultilevel"/>
    <w:tmpl w:val="6F626E3C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370F"/>
    <w:multiLevelType w:val="hybridMultilevel"/>
    <w:tmpl w:val="D070D7A6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743E"/>
    <w:multiLevelType w:val="hybridMultilevel"/>
    <w:tmpl w:val="EC528FEC"/>
    <w:lvl w:ilvl="0" w:tplc="FA86AFBA">
      <w:start w:val="2111"/>
      <w:numFmt w:val="bullet"/>
      <w:lvlText w:val="-"/>
      <w:lvlJc w:val="left"/>
      <w:pPr>
        <w:ind w:left="35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1B636277"/>
    <w:multiLevelType w:val="hybridMultilevel"/>
    <w:tmpl w:val="7B1AF12A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4E10"/>
    <w:multiLevelType w:val="hybridMultilevel"/>
    <w:tmpl w:val="16ECE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8511F"/>
    <w:multiLevelType w:val="hybridMultilevel"/>
    <w:tmpl w:val="C75CD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67A86"/>
    <w:multiLevelType w:val="hybridMultilevel"/>
    <w:tmpl w:val="91D05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A0D5F"/>
    <w:multiLevelType w:val="hybridMultilevel"/>
    <w:tmpl w:val="4DEEFA7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74BE4"/>
    <w:multiLevelType w:val="hybridMultilevel"/>
    <w:tmpl w:val="3BBC2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A5028"/>
    <w:multiLevelType w:val="hybridMultilevel"/>
    <w:tmpl w:val="B93CB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E42DE"/>
    <w:multiLevelType w:val="hybridMultilevel"/>
    <w:tmpl w:val="F73A09D6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6265A"/>
    <w:multiLevelType w:val="hybridMultilevel"/>
    <w:tmpl w:val="EDBAAE4E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E0515"/>
    <w:multiLevelType w:val="hybridMultilevel"/>
    <w:tmpl w:val="5694E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A0C1A"/>
    <w:multiLevelType w:val="hybridMultilevel"/>
    <w:tmpl w:val="DCC04B14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80527"/>
    <w:multiLevelType w:val="hybridMultilevel"/>
    <w:tmpl w:val="B98A72B0"/>
    <w:lvl w:ilvl="0" w:tplc="CF68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3"/>
  </w:num>
  <w:num w:numId="5">
    <w:abstractNumId w:val="0"/>
  </w:num>
  <w:num w:numId="6">
    <w:abstractNumId w:val="14"/>
  </w:num>
  <w:num w:numId="7">
    <w:abstractNumId w:val="3"/>
  </w:num>
  <w:num w:numId="8">
    <w:abstractNumId w:val="11"/>
  </w:num>
  <w:num w:numId="9">
    <w:abstractNumId w:val="10"/>
  </w:num>
  <w:num w:numId="10">
    <w:abstractNumId w:val="4"/>
  </w:num>
  <w:num w:numId="11">
    <w:abstractNumId w:val="6"/>
  </w:num>
  <w:num w:numId="12">
    <w:abstractNumId w:val="9"/>
  </w:num>
  <w:num w:numId="13">
    <w:abstractNumId w:val="5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50"/>
    <w:rsid w:val="000047B2"/>
    <w:rsid w:val="00014189"/>
    <w:rsid w:val="000209B5"/>
    <w:rsid w:val="00021413"/>
    <w:rsid w:val="00026085"/>
    <w:rsid w:val="00060EF8"/>
    <w:rsid w:val="000670F3"/>
    <w:rsid w:val="00081253"/>
    <w:rsid w:val="00082A2B"/>
    <w:rsid w:val="000871A9"/>
    <w:rsid w:val="00092D3C"/>
    <w:rsid w:val="00094AEC"/>
    <w:rsid w:val="000A73DB"/>
    <w:rsid w:val="000A75BE"/>
    <w:rsid w:val="000B5C01"/>
    <w:rsid w:val="000C13CF"/>
    <w:rsid w:val="000C49DA"/>
    <w:rsid w:val="000C6628"/>
    <w:rsid w:val="000D66EA"/>
    <w:rsid w:val="000E0D67"/>
    <w:rsid w:val="000F5D4B"/>
    <w:rsid w:val="000F68D8"/>
    <w:rsid w:val="00116B0C"/>
    <w:rsid w:val="00117721"/>
    <w:rsid w:val="00126154"/>
    <w:rsid w:val="001455D6"/>
    <w:rsid w:val="00154A73"/>
    <w:rsid w:val="001720E6"/>
    <w:rsid w:val="00186D9D"/>
    <w:rsid w:val="00187DE7"/>
    <w:rsid w:val="001A1247"/>
    <w:rsid w:val="001B1F91"/>
    <w:rsid w:val="001B7BA8"/>
    <w:rsid w:val="001C2BF0"/>
    <w:rsid w:val="001C3053"/>
    <w:rsid w:val="001D1851"/>
    <w:rsid w:val="001D7B32"/>
    <w:rsid w:val="001E7E5F"/>
    <w:rsid w:val="001F1704"/>
    <w:rsid w:val="001F47C2"/>
    <w:rsid w:val="00215110"/>
    <w:rsid w:val="002152D1"/>
    <w:rsid w:val="002155E7"/>
    <w:rsid w:val="00224EC6"/>
    <w:rsid w:val="00230EB7"/>
    <w:rsid w:val="00230F87"/>
    <w:rsid w:val="00233225"/>
    <w:rsid w:val="00246BDF"/>
    <w:rsid w:val="00246E53"/>
    <w:rsid w:val="00262CE7"/>
    <w:rsid w:val="00275A47"/>
    <w:rsid w:val="002A5B7C"/>
    <w:rsid w:val="002B4D6E"/>
    <w:rsid w:val="002D2413"/>
    <w:rsid w:val="003017A3"/>
    <w:rsid w:val="00311BC1"/>
    <w:rsid w:val="00324AFE"/>
    <w:rsid w:val="003326AB"/>
    <w:rsid w:val="00334131"/>
    <w:rsid w:val="00335AEB"/>
    <w:rsid w:val="0033627B"/>
    <w:rsid w:val="003523A2"/>
    <w:rsid w:val="00355BC8"/>
    <w:rsid w:val="00383702"/>
    <w:rsid w:val="00383CDC"/>
    <w:rsid w:val="00386C0A"/>
    <w:rsid w:val="0039552F"/>
    <w:rsid w:val="003A0C05"/>
    <w:rsid w:val="003A3177"/>
    <w:rsid w:val="003B2A5E"/>
    <w:rsid w:val="003B3764"/>
    <w:rsid w:val="003B42C3"/>
    <w:rsid w:val="003D16B0"/>
    <w:rsid w:val="003D3DB8"/>
    <w:rsid w:val="003D6955"/>
    <w:rsid w:val="003D6CC5"/>
    <w:rsid w:val="0040070D"/>
    <w:rsid w:val="00401153"/>
    <w:rsid w:val="00411D7E"/>
    <w:rsid w:val="00417E4E"/>
    <w:rsid w:val="004268AF"/>
    <w:rsid w:val="00427519"/>
    <w:rsid w:val="0044652C"/>
    <w:rsid w:val="004568F2"/>
    <w:rsid w:val="00480378"/>
    <w:rsid w:val="004843CA"/>
    <w:rsid w:val="00485BEB"/>
    <w:rsid w:val="00493057"/>
    <w:rsid w:val="004C2655"/>
    <w:rsid w:val="004C77FE"/>
    <w:rsid w:val="004F2DA6"/>
    <w:rsid w:val="00516A73"/>
    <w:rsid w:val="0052770E"/>
    <w:rsid w:val="005332F8"/>
    <w:rsid w:val="005433AF"/>
    <w:rsid w:val="00555C37"/>
    <w:rsid w:val="00556464"/>
    <w:rsid w:val="00561245"/>
    <w:rsid w:val="00583C2D"/>
    <w:rsid w:val="00584CCC"/>
    <w:rsid w:val="005A2E99"/>
    <w:rsid w:val="005A5E25"/>
    <w:rsid w:val="005A6BC1"/>
    <w:rsid w:val="005B27FC"/>
    <w:rsid w:val="005B72CC"/>
    <w:rsid w:val="005E1698"/>
    <w:rsid w:val="005F0202"/>
    <w:rsid w:val="005F0E02"/>
    <w:rsid w:val="005F6A23"/>
    <w:rsid w:val="00631E33"/>
    <w:rsid w:val="006411D1"/>
    <w:rsid w:val="0064273B"/>
    <w:rsid w:val="006446D6"/>
    <w:rsid w:val="0064585B"/>
    <w:rsid w:val="006466CC"/>
    <w:rsid w:val="00652C5B"/>
    <w:rsid w:val="00653068"/>
    <w:rsid w:val="00653121"/>
    <w:rsid w:val="00653EFE"/>
    <w:rsid w:val="0066109B"/>
    <w:rsid w:val="00662CDC"/>
    <w:rsid w:val="006665FD"/>
    <w:rsid w:val="00681C00"/>
    <w:rsid w:val="006923D6"/>
    <w:rsid w:val="006A050B"/>
    <w:rsid w:val="006A152C"/>
    <w:rsid w:val="006B1A3D"/>
    <w:rsid w:val="006B4CCD"/>
    <w:rsid w:val="006C0B57"/>
    <w:rsid w:val="006C5E7D"/>
    <w:rsid w:val="006C6024"/>
    <w:rsid w:val="006C65E8"/>
    <w:rsid w:val="006D69B1"/>
    <w:rsid w:val="006F12DD"/>
    <w:rsid w:val="007216CA"/>
    <w:rsid w:val="00721FA8"/>
    <w:rsid w:val="007221F8"/>
    <w:rsid w:val="00725325"/>
    <w:rsid w:val="007337D0"/>
    <w:rsid w:val="007400FA"/>
    <w:rsid w:val="00750355"/>
    <w:rsid w:val="00750855"/>
    <w:rsid w:val="00752602"/>
    <w:rsid w:val="00764C62"/>
    <w:rsid w:val="00767087"/>
    <w:rsid w:val="00771E3C"/>
    <w:rsid w:val="00784A5D"/>
    <w:rsid w:val="00792A90"/>
    <w:rsid w:val="007A1790"/>
    <w:rsid w:val="007B74E6"/>
    <w:rsid w:val="007C0A2B"/>
    <w:rsid w:val="007D19CF"/>
    <w:rsid w:val="007D5364"/>
    <w:rsid w:val="007E20D4"/>
    <w:rsid w:val="007E6AFD"/>
    <w:rsid w:val="007F415F"/>
    <w:rsid w:val="007F68CF"/>
    <w:rsid w:val="007F6FE0"/>
    <w:rsid w:val="00805742"/>
    <w:rsid w:val="00807304"/>
    <w:rsid w:val="008229BE"/>
    <w:rsid w:val="008352AE"/>
    <w:rsid w:val="00840A69"/>
    <w:rsid w:val="00844360"/>
    <w:rsid w:val="008476DA"/>
    <w:rsid w:val="00855996"/>
    <w:rsid w:val="00856D99"/>
    <w:rsid w:val="00864835"/>
    <w:rsid w:val="00864D01"/>
    <w:rsid w:val="00870075"/>
    <w:rsid w:val="00887FD6"/>
    <w:rsid w:val="0089781D"/>
    <w:rsid w:val="008A13CF"/>
    <w:rsid w:val="008A179E"/>
    <w:rsid w:val="008A7C08"/>
    <w:rsid w:val="008C3B15"/>
    <w:rsid w:val="008D0C7C"/>
    <w:rsid w:val="008D2348"/>
    <w:rsid w:val="008E108D"/>
    <w:rsid w:val="008F461F"/>
    <w:rsid w:val="00922E9F"/>
    <w:rsid w:val="00933A21"/>
    <w:rsid w:val="00933F49"/>
    <w:rsid w:val="009443C5"/>
    <w:rsid w:val="00945509"/>
    <w:rsid w:val="00953C8D"/>
    <w:rsid w:val="009559CB"/>
    <w:rsid w:val="009576DD"/>
    <w:rsid w:val="00957AE8"/>
    <w:rsid w:val="00970B39"/>
    <w:rsid w:val="009809D3"/>
    <w:rsid w:val="00981ADF"/>
    <w:rsid w:val="00992F69"/>
    <w:rsid w:val="009950D7"/>
    <w:rsid w:val="009A25B3"/>
    <w:rsid w:val="009B4B17"/>
    <w:rsid w:val="009B73F2"/>
    <w:rsid w:val="009D4F07"/>
    <w:rsid w:val="009E4537"/>
    <w:rsid w:val="009F1F7B"/>
    <w:rsid w:val="009F61BB"/>
    <w:rsid w:val="009F7CC3"/>
    <w:rsid w:val="00A01C15"/>
    <w:rsid w:val="00A038EF"/>
    <w:rsid w:val="00A1304A"/>
    <w:rsid w:val="00A14D45"/>
    <w:rsid w:val="00A244B5"/>
    <w:rsid w:val="00A277BD"/>
    <w:rsid w:val="00A32C72"/>
    <w:rsid w:val="00A34476"/>
    <w:rsid w:val="00A365BB"/>
    <w:rsid w:val="00A41320"/>
    <w:rsid w:val="00A50549"/>
    <w:rsid w:val="00A52DE0"/>
    <w:rsid w:val="00A7012F"/>
    <w:rsid w:val="00A77D39"/>
    <w:rsid w:val="00A8386C"/>
    <w:rsid w:val="00A97E38"/>
    <w:rsid w:val="00AA163F"/>
    <w:rsid w:val="00AC0092"/>
    <w:rsid w:val="00AC28AA"/>
    <w:rsid w:val="00AD1F07"/>
    <w:rsid w:val="00AD1F9F"/>
    <w:rsid w:val="00AD3051"/>
    <w:rsid w:val="00AD55C1"/>
    <w:rsid w:val="00AE1DEC"/>
    <w:rsid w:val="00B10E84"/>
    <w:rsid w:val="00B136C4"/>
    <w:rsid w:val="00B142B1"/>
    <w:rsid w:val="00B40500"/>
    <w:rsid w:val="00B45693"/>
    <w:rsid w:val="00B52FF2"/>
    <w:rsid w:val="00B5619F"/>
    <w:rsid w:val="00B61868"/>
    <w:rsid w:val="00B622EE"/>
    <w:rsid w:val="00B701DF"/>
    <w:rsid w:val="00B7124A"/>
    <w:rsid w:val="00B76F99"/>
    <w:rsid w:val="00B87DF1"/>
    <w:rsid w:val="00BA4657"/>
    <w:rsid w:val="00BA5F33"/>
    <w:rsid w:val="00BB1668"/>
    <w:rsid w:val="00BC2E39"/>
    <w:rsid w:val="00BD47C7"/>
    <w:rsid w:val="00BE57F6"/>
    <w:rsid w:val="00BF3D1F"/>
    <w:rsid w:val="00C012E0"/>
    <w:rsid w:val="00C06CBB"/>
    <w:rsid w:val="00C10DDC"/>
    <w:rsid w:val="00C16E50"/>
    <w:rsid w:val="00C23EE9"/>
    <w:rsid w:val="00C25FC9"/>
    <w:rsid w:val="00C6073B"/>
    <w:rsid w:val="00C61CA8"/>
    <w:rsid w:val="00C627C8"/>
    <w:rsid w:val="00C76DE7"/>
    <w:rsid w:val="00CB722C"/>
    <w:rsid w:val="00CC4827"/>
    <w:rsid w:val="00CC4EB4"/>
    <w:rsid w:val="00CD204B"/>
    <w:rsid w:val="00CD3A8E"/>
    <w:rsid w:val="00D1142A"/>
    <w:rsid w:val="00D13E36"/>
    <w:rsid w:val="00D237D8"/>
    <w:rsid w:val="00D23D6A"/>
    <w:rsid w:val="00D24B74"/>
    <w:rsid w:val="00D30443"/>
    <w:rsid w:val="00D368F2"/>
    <w:rsid w:val="00D37BB2"/>
    <w:rsid w:val="00D41D97"/>
    <w:rsid w:val="00D825E0"/>
    <w:rsid w:val="00D826C6"/>
    <w:rsid w:val="00D84BEB"/>
    <w:rsid w:val="00D87921"/>
    <w:rsid w:val="00DA1FEA"/>
    <w:rsid w:val="00DA503C"/>
    <w:rsid w:val="00DA7E5C"/>
    <w:rsid w:val="00DC2000"/>
    <w:rsid w:val="00DC2706"/>
    <w:rsid w:val="00DC4B4C"/>
    <w:rsid w:val="00DD26F1"/>
    <w:rsid w:val="00DD4759"/>
    <w:rsid w:val="00DE0E0E"/>
    <w:rsid w:val="00DE5249"/>
    <w:rsid w:val="00DF1698"/>
    <w:rsid w:val="00DF7AE5"/>
    <w:rsid w:val="00E104D8"/>
    <w:rsid w:val="00E114BD"/>
    <w:rsid w:val="00E301A4"/>
    <w:rsid w:val="00E33221"/>
    <w:rsid w:val="00E419DE"/>
    <w:rsid w:val="00E47692"/>
    <w:rsid w:val="00E65832"/>
    <w:rsid w:val="00E73091"/>
    <w:rsid w:val="00E81611"/>
    <w:rsid w:val="00E87FB1"/>
    <w:rsid w:val="00E90145"/>
    <w:rsid w:val="00E964A0"/>
    <w:rsid w:val="00EC166A"/>
    <w:rsid w:val="00EC51CF"/>
    <w:rsid w:val="00ED15D7"/>
    <w:rsid w:val="00ED3424"/>
    <w:rsid w:val="00EE3886"/>
    <w:rsid w:val="00EF298E"/>
    <w:rsid w:val="00EF40C2"/>
    <w:rsid w:val="00EF5760"/>
    <w:rsid w:val="00EF607F"/>
    <w:rsid w:val="00F02EE4"/>
    <w:rsid w:val="00F05F2C"/>
    <w:rsid w:val="00F06A6E"/>
    <w:rsid w:val="00F076A4"/>
    <w:rsid w:val="00F12E74"/>
    <w:rsid w:val="00F14EF4"/>
    <w:rsid w:val="00F15BA8"/>
    <w:rsid w:val="00F3229D"/>
    <w:rsid w:val="00F54D6B"/>
    <w:rsid w:val="00F554DC"/>
    <w:rsid w:val="00F6631D"/>
    <w:rsid w:val="00F676F2"/>
    <w:rsid w:val="00F67BF7"/>
    <w:rsid w:val="00F83D61"/>
    <w:rsid w:val="00F9183E"/>
    <w:rsid w:val="00F97AB0"/>
    <w:rsid w:val="00FA3870"/>
    <w:rsid w:val="00FA6C7E"/>
    <w:rsid w:val="00FC15F0"/>
    <w:rsid w:val="00FD0337"/>
    <w:rsid w:val="00FD12BA"/>
    <w:rsid w:val="00FE3B41"/>
    <w:rsid w:val="00FF15B9"/>
    <w:rsid w:val="00FF2145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74A02"/>
  <w15:docId w15:val="{FED55549-179B-4592-8F53-A1B8E7AA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E5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E50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C16E50"/>
    <w:rPr>
      <w:rFonts w:ascii="FranklinGothicBookC" w:hAnsi="FranklinGothicBookC" w:hint="default"/>
      <w:b w:val="0"/>
      <w:bCs w:val="0"/>
      <w:i w:val="0"/>
      <w:iCs w:val="0"/>
      <w:color w:val="231F20"/>
      <w:sz w:val="18"/>
      <w:szCs w:val="18"/>
    </w:rPr>
  </w:style>
  <w:style w:type="paragraph" w:styleId="a4">
    <w:name w:val="List Paragraph"/>
    <w:basedOn w:val="a"/>
    <w:uiPriority w:val="34"/>
    <w:qFormat/>
    <w:rsid w:val="00C16E50"/>
    <w:pPr>
      <w:ind w:left="720"/>
      <w:contextualSpacing/>
    </w:pPr>
  </w:style>
  <w:style w:type="paragraph" w:styleId="a5">
    <w:name w:val="No Spacing"/>
    <w:uiPriority w:val="1"/>
    <w:qFormat/>
    <w:rsid w:val="00A32C7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1704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0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EE4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65306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5306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53068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306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53068"/>
    <w:rPr>
      <w:rFonts w:eastAsiaTheme="minorEastAsia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3326AB"/>
    <w:pPr>
      <w:spacing w:after="0" w:line="240" w:lineRule="auto"/>
    </w:pPr>
    <w:rPr>
      <w:rFonts w:eastAsiaTheme="minorEastAsia"/>
      <w:lang w:eastAsia="ru-RU"/>
    </w:rPr>
  </w:style>
  <w:style w:type="character" w:styleId="ae">
    <w:name w:val="Emphasis"/>
    <w:basedOn w:val="a0"/>
    <w:uiPriority w:val="20"/>
    <w:qFormat/>
    <w:rsid w:val="00154A73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C28AA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792A9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6C6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C65E8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6C6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C65E8"/>
    <w:rPr>
      <w:rFonts w:eastAsiaTheme="minorEastAsia"/>
      <w:lang w:eastAsia="ru-RU"/>
    </w:rPr>
  </w:style>
  <w:style w:type="table" w:styleId="af3">
    <w:name w:val="Light Shading"/>
    <w:basedOn w:val="a1"/>
    <w:uiPriority w:val="60"/>
    <w:rsid w:val="00A34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4">
    <w:name w:val="Light List"/>
    <w:basedOn w:val="a1"/>
    <w:uiPriority w:val="61"/>
    <w:rsid w:val="00A344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0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0CFDE-82F9-4536-BBFB-6AFDD7E0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4677</Characters>
  <Application>Microsoft Office Word</Application>
  <DocSecurity>0</DocSecurity>
  <Lines>89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Redactor</cp:lastModifiedBy>
  <cp:revision>2</cp:revision>
  <dcterms:created xsi:type="dcterms:W3CDTF">2019-12-04T06:22:00Z</dcterms:created>
  <dcterms:modified xsi:type="dcterms:W3CDTF">2019-12-04T06:22:00Z</dcterms:modified>
</cp:coreProperties>
</file>