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94E52" w14:textId="77777777" w:rsidR="00F4078D" w:rsidRDefault="00DE3225">
      <w:pPr>
        <w:widowControl w:val="0"/>
        <w:spacing w:after="0" w:line="240" w:lineRule="auto"/>
        <w:jc w:val="both"/>
        <w:rPr>
          <w:rFonts w:ascii="Times New Roman" w:eastAsia="Times New Roman" w:hAnsi="Times New Roman" w:cs="Times New Roman"/>
          <w:b/>
          <w:bCs/>
          <w:sz w:val="24"/>
          <w:szCs w:val="24"/>
          <w:shd w:val="clear" w:color="auto" w:fill="FFFFFF"/>
        </w:rPr>
      </w:pPr>
      <w:proofErr w:type="spellStart"/>
      <w:r>
        <w:rPr>
          <w:rFonts w:ascii="Times New Roman" w:hAnsi="Times New Roman"/>
          <w:b/>
          <w:bCs/>
          <w:sz w:val="24"/>
          <w:szCs w:val="24"/>
          <w:shd w:val="clear" w:color="auto" w:fill="FFFFFF"/>
        </w:rPr>
        <w:t>Ekaterina</w:t>
      </w:r>
      <w:proofErr w:type="spellEnd"/>
      <w:r>
        <w:rPr>
          <w:rFonts w:ascii="Times New Roman" w:hAnsi="Times New Roman"/>
          <w:b/>
          <w:bCs/>
          <w:sz w:val="24"/>
          <w:szCs w:val="24"/>
          <w:shd w:val="clear" w:color="auto" w:fill="FFFFFF"/>
        </w:rPr>
        <w:t xml:space="preserve"> I. Alexeeva</w:t>
      </w:r>
      <w:r>
        <w:rPr>
          <w:rFonts w:ascii="Times New Roman" w:hAnsi="Times New Roman"/>
          <w:b/>
          <w:bCs/>
          <w:sz w:val="24"/>
          <w:szCs w:val="24"/>
          <w:shd w:val="clear" w:color="auto" w:fill="FFFFFF"/>
          <w:vertAlign w:val="superscript"/>
        </w:rPr>
        <w:t>1, 2</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Dariya</w:t>
      </w:r>
      <w:proofErr w:type="spellEnd"/>
      <w:r>
        <w:rPr>
          <w:rFonts w:ascii="Times New Roman" w:hAnsi="Times New Roman"/>
          <w:b/>
          <w:bCs/>
          <w:sz w:val="24"/>
          <w:szCs w:val="24"/>
          <w:shd w:val="clear" w:color="auto" w:fill="FFFFFF"/>
        </w:rPr>
        <w:t xml:space="preserve"> D. Vankova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Tatyana</w:t>
      </w:r>
      <w:proofErr w:type="spellEnd"/>
      <w:r>
        <w:rPr>
          <w:rFonts w:ascii="Times New Roman" w:hAnsi="Times New Roman"/>
          <w:b/>
          <w:bCs/>
          <w:sz w:val="24"/>
          <w:szCs w:val="24"/>
          <w:shd w:val="clear" w:color="auto" w:fill="FFFFFF"/>
        </w:rPr>
        <w:t xml:space="preserve"> M. Dvoryakovskaya</w:t>
      </w:r>
      <w:r>
        <w:rPr>
          <w:rFonts w:ascii="Times New Roman" w:hAnsi="Times New Roman"/>
          <w:b/>
          <w:bCs/>
          <w:sz w:val="24"/>
          <w:szCs w:val="24"/>
          <w:shd w:val="clear" w:color="auto" w:fill="FFFFFF"/>
          <w:vertAlign w:val="superscript"/>
        </w:rPr>
        <w:t>1, 2</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Ksenia</w:t>
      </w:r>
      <w:proofErr w:type="spellEnd"/>
      <w:r>
        <w:rPr>
          <w:rFonts w:ascii="Times New Roman" w:hAnsi="Times New Roman"/>
          <w:b/>
          <w:bCs/>
          <w:sz w:val="24"/>
          <w:szCs w:val="24"/>
          <w:shd w:val="clear" w:color="auto" w:fill="FFFFFF"/>
        </w:rPr>
        <w:t> B. Isaeva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Rina</w:t>
      </w:r>
      <w:proofErr w:type="spellEnd"/>
      <w:r>
        <w:rPr>
          <w:rFonts w:ascii="Times New Roman" w:hAnsi="Times New Roman"/>
          <w:b/>
          <w:bCs/>
          <w:sz w:val="24"/>
          <w:szCs w:val="24"/>
          <w:shd w:val="clear" w:color="auto" w:fill="FFFFFF"/>
        </w:rPr>
        <w:t xml:space="preserve"> V. Denisova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Anna</w:t>
      </w:r>
      <w:proofErr w:type="spellEnd"/>
      <w:r>
        <w:rPr>
          <w:rFonts w:ascii="Times New Roman" w:hAnsi="Times New Roman"/>
          <w:b/>
          <w:bCs/>
          <w:sz w:val="24"/>
          <w:szCs w:val="24"/>
          <w:shd w:val="clear" w:color="auto" w:fill="FFFFFF"/>
        </w:rPr>
        <w:t xml:space="preserve"> V. Mamutova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Aleksandra</w:t>
      </w:r>
      <w:proofErr w:type="spellEnd"/>
      <w:r>
        <w:rPr>
          <w:rFonts w:ascii="Times New Roman" w:hAnsi="Times New Roman"/>
          <w:b/>
          <w:bCs/>
          <w:sz w:val="24"/>
          <w:szCs w:val="24"/>
          <w:shd w:val="clear" w:color="auto" w:fill="FFFFFF"/>
        </w:rPr>
        <w:t xml:space="preserve"> M. Chomakhidze</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Tatyana</w:t>
      </w:r>
      <w:proofErr w:type="spellEnd"/>
      <w:r>
        <w:rPr>
          <w:rFonts w:ascii="Times New Roman" w:hAnsi="Times New Roman"/>
          <w:b/>
          <w:bCs/>
          <w:sz w:val="24"/>
          <w:szCs w:val="24"/>
          <w:shd w:val="clear" w:color="auto" w:fill="FFFFFF"/>
        </w:rPr>
        <w:t xml:space="preserve"> V. Radygina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Irina</w:t>
      </w:r>
      <w:proofErr w:type="spellEnd"/>
      <w:r>
        <w:rPr>
          <w:rFonts w:ascii="Times New Roman" w:hAnsi="Times New Roman"/>
          <w:b/>
          <w:bCs/>
          <w:sz w:val="24"/>
          <w:szCs w:val="24"/>
          <w:shd w:val="clear" w:color="auto" w:fill="FFFFFF"/>
        </w:rPr>
        <w:t xml:space="preserve"> V. Zubkova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Natalia</w:t>
      </w:r>
      <w:proofErr w:type="spellEnd"/>
      <w:r>
        <w:rPr>
          <w:rFonts w:ascii="Times New Roman" w:hAnsi="Times New Roman"/>
          <w:b/>
          <w:bCs/>
          <w:sz w:val="24"/>
          <w:szCs w:val="24"/>
          <w:shd w:val="clear" w:color="auto" w:fill="FFFFFF"/>
        </w:rPr>
        <w:t xml:space="preserve"> E. Tkachenko</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Anna</w:t>
      </w:r>
      <w:proofErr w:type="spellEnd"/>
      <w:r>
        <w:rPr>
          <w:rFonts w:ascii="Times New Roman" w:hAnsi="Times New Roman"/>
          <w:b/>
          <w:bCs/>
          <w:sz w:val="24"/>
          <w:szCs w:val="24"/>
          <w:shd w:val="clear" w:color="auto" w:fill="FFFFFF"/>
        </w:rPr>
        <w:t xml:space="preserve"> N. Fetisova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Olga</w:t>
      </w:r>
      <w:proofErr w:type="spellEnd"/>
      <w:r>
        <w:rPr>
          <w:rFonts w:ascii="Times New Roman" w:hAnsi="Times New Roman"/>
          <w:b/>
          <w:bCs/>
          <w:sz w:val="24"/>
          <w:szCs w:val="24"/>
          <w:shd w:val="clear" w:color="auto" w:fill="FFFFFF"/>
        </w:rPr>
        <w:t> L. Lomakina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Yanina</w:t>
      </w:r>
      <w:proofErr w:type="spellEnd"/>
      <w:r>
        <w:rPr>
          <w:rFonts w:ascii="Times New Roman" w:hAnsi="Times New Roman"/>
          <w:b/>
          <w:bCs/>
          <w:sz w:val="24"/>
          <w:szCs w:val="24"/>
          <w:shd w:val="clear" w:color="auto" w:fill="FFFFFF"/>
        </w:rPr>
        <w:t xml:space="preserve"> O. Orlova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Mariya</w:t>
      </w:r>
      <w:proofErr w:type="spellEnd"/>
      <w:r>
        <w:rPr>
          <w:rFonts w:ascii="Times New Roman" w:hAnsi="Times New Roman"/>
          <w:b/>
          <w:bCs/>
          <w:sz w:val="24"/>
          <w:szCs w:val="24"/>
          <w:shd w:val="clear" w:color="auto" w:fill="FFFFFF"/>
        </w:rPr>
        <w:t xml:space="preserve"> K. Kurdup</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Marina</w:t>
      </w:r>
      <w:proofErr w:type="spellEnd"/>
      <w:r>
        <w:rPr>
          <w:rFonts w:ascii="Times New Roman" w:hAnsi="Times New Roman"/>
          <w:b/>
          <w:bCs/>
          <w:sz w:val="24"/>
          <w:szCs w:val="24"/>
          <w:shd w:val="clear" w:color="auto" w:fill="FFFFFF"/>
        </w:rPr>
        <w:t xml:space="preserve"> S. Gautier</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Elizaveta</w:t>
      </w:r>
      <w:proofErr w:type="spellEnd"/>
      <w:r>
        <w:rPr>
          <w:rFonts w:ascii="Times New Roman" w:hAnsi="Times New Roman"/>
          <w:b/>
          <w:bCs/>
          <w:sz w:val="24"/>
          <w:szCs w:val="24"/>
          <w:shd w:val="clear" w:color="auto" w:fill="FFFFFF"/>
        </w:rPr>
        <w:t> A. Krekhova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Meyri</w:t>
      </w:r>
      <w:proofErr w:type="spellEnd"/>
      <w:r>
        <w:rPr>
          <w:rFonts w:ascii="Times New Roman" w:hAnsi="Times New Roman"/>
          <w:b/>
          <w:bCs/>
          <w:sz w:val="24"/>
          <w:szCs w:val="24"/>
          <w:shd w:val="clear" w:color="auto" w:fill="FFFFFF"/>
        </w:rPr>
        <w:t xml:space="preserve"> S. Shingarova</w:t>
      </w:r>
      <w:r>
        <w:rPr>
          <w:rFonts w:ascii="Times New Roman" w:hAnsi="Times New Roman"/>
          <w:b/>
          <w:bCs/>
          <w:sz w:val="24"/>
          <w:szCs w:val="24"/>
          <w:shd w:val="clear" w:color="auto" w:fill="FFFFFF"/>
          <w:vertAlign w:val="superscript"/>
        </w:rPr>
        <w:t>1</w:t>
      </w:r>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Olga</w:t>
      </w:r>
      <w:proofErr w:type="spellEnd"/>
      <w:r>
        <w:rPr>
          <w:rFonts w:ascii="Times New Roman" w:hAnsi="Times New Roman"/>
          <w:b/>
          <w:bCs/>
          <w:sz w:val="24"/>
          <w:szCs w:val="24"/>
          <w:shd w:val="clear" w:color="auto" w:fill="FFFFFF"/>
        </w:rPr>
        <w:t xml:space="preserve"> P.Galkina</w:t>
      </w:r>
      <w:r>
        <w:rPr>
          <w:rFonts w:ascii="Times New Roman" w:hAnsi="Times New Roman"/>
          <w:b/>
          <w:bCs/>
          <w:sz w:val="24"/>
          <w:szCs w:val="24"/>
          <w:shd w:val="clear" w:color="auto" w:fill="FFFFFF"/>
          <w:vertAlign w:val="superscript"/>
        </w:rPr>
        <w:t>2</w:t>
      </w:r>
    </w:p>
    <w:p w14:paraId="17EE645A" w14:textId="77777777" w:rsidR="00F4078D" w:rsidRDefault="00F4078D">
      <w:pPr>
        <w:widowControl w:val="0"/>
        <w:spacing w:after="0" w:line="240" w:lineRule="auto"/>
        <w:jc w:val="both"/>
        <w:rPr>
          <w:rFonts w:ascii="Times New Roman" w:eastAsia="Times New Roman" w:hAnsi="Times New Roman" w:cs="Times New Roman"/>
          <w:sz w:val="24"/>
          <w:szCs w:val="24"/>
        </w:rPr>
      </w:pPr>
    </w:p>
    <w:p w14:paraId="2F8C8BE4"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vertAlign w:val="superscript"/>
          <w:lang w:val="en-US"/>
        </w:rPr>
        <w:t>1</w:t>
      </w:r>
      <w:r>
        <w:rPr>
          <w:rFonts w:ascii="Times New Roman" w:hAnsi="Times New Roman"/>
          <w:sz w:val="24"/>
          <w:szCs w:val="24"/>
          <w:lang w:val="en-US"/>
        </w:rPr>
        <w:t> National Medical Research Center for Children's Health, Moscow, Russian Federation</w:t>
      </w:r>
    </w:p>
    <w:p w14:paraId="3DDF7056"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vertAlign w:val="superscript"/>
          <w:lang w:val="en-US"/>
        </w:rPr>
        <w:t>2</w:t>
      </w:r>
      <w:r>
        <w:rPr>
          <w:rFonts w:ascii="Times New Roman" w:hAnsi="Times New Roman"/>
          <w:sz w:val="24"/>
          <w:szCs w:val="24"/>
          <w:lang w:val="en-US"/>
        </w:rPr>
        <w:t> </w:t>
      </w:r>
      <w:proofErr w:type="spellStart"/>
      <w:r>
        <w:rPr>
          <w:rFonts w:ascii="Times New Roman" w:hAnsi="Times New Roman"/>
          <w:sz w:val="24"/>
          <w:szCs w:val="24"/>
          <w:lang w:val="en-US"/>
        </w:rPr>
        <w:t>Sechenov</w:t>
      </w:r>
      <w:proofErr w:type="spellEnd"/>
      <w:r>
        <w:rPr>
          <w:rFonts w:ascii="Times New Roman" w:hAnsi="Times New Roman"/>
          <w:sz w:val="24"/>
          <w:szCs w:val="24"/>
          <w:lang w:val="en-US"/>
        </w:rPr>
        <w:t xml:space="preserve"> First Moscow State Medical University</w:t>
      </w:r>
      <w:r w:rsidR="00C62C8B">
        <w:rPr>
          <w:rFonts w:ascii="Times New Roman" w:hAnsi="Times New Roman"/>
          <w:sz w:val="24"/>
          <w:szCs w:val="24"/>
          <w:lang w:val="en-US"/>
        </w:rPr>
        <w:t xml:space="preserve"> (</w:t>
      </w:r>
      <w:proofErr w:type="spellStart"/>
      <w:r w:rsidR="00C62C8B">
        <w:rPr>
          <w:rFonts w:ascii="Times New Roman" w:hAnsi="Times New Roman"/>
          <w:sz w:val="24"/>
          <w:szCs w:val="24"/>
          <w:lang w:val="en-US"/>
        </w:rPr>
        <w:t>Sechenov</w:t>
      </w:r>
      <w:proofErr w:type="spellEnd"/>
      <w:r w:rsidR="00C62C8B">
        <w:rPr>
          <w:rFonts w:ascii="Times New Roman" w:hAnsi="Times New Roman"/>
          <w:sz w:val="24"/>
          <w:szCs w:val="24"/>
          <w:lang w:val="en-US"/>
        </w:rPr>
        <w:t xml:space="preserve"> University), Moscow, Russian Federation</w:t>
      </w:r>
    </w:p>
    <w:p w14:paraId="3FE56A29" w14:textId="77777777" w:rsidR="00F4078D" w:rsidRDefault="00F4078D">
      <w:pPr>
        <w:widowControl w:val="0"/>
        <w:spacing w:after="0" w:line="240" w:lineRule="auto"/>
        <w:jc w:val="both"/>
        <w:rPr>
          <w:rFonts w:ascii="Times New Roman" w:eastAsia="Times New Roman" w:hAnsi="Times New Roman" w:cs="Times New Roman"/>
          <w:sz w:val="24"/>
          <w:szCs w:val="24"/>
          <w:lang w:val="en-US"/>
        </w:rPr>
      </w:pPr>
    </w:p>
    <w:p w14:paraId="5F267558" w14:textId="77777777" w:rsidR="00F4078D" w:rsidRDefault="00DE3225">
      <w:pPr>
        <w:widowControl w:val="0"/>
        <w:spacing w:after="0" w:line="240" w:lineRule="auto"/>
        <w:jc w:val="both"/>
        <w:rPr>
          <w:rFonts w:ascii="Times New Roman" w:eastAsia="Times New Roman" w:hAnsi="Times New Roman" w:cs="Times New Roman"/>
          <w:b/>
          <w:bCs/>
          <w:sz w:val="32"/>
          <w:szCs w:val="32"/>
          <w:lang w:val="en-US"/>
        </w:rPr>
      </w:pPr>
      <w:r>
        <w:rPr>
          <w:rFonts w:ascii="Times New Roman" w:hAnsi="Times New Roman"/>
          <w:b/>
          <w:bCs/>
          <w:sz w:val="32"/>
          <w:szCs w:val="32"/>
          <w:lang w:val="en-US"/>
        </w:rPr>
        <w:t>Efficacy of Pneumococcal Polysaccharide Conjugate Vaccine (13-valent, Adsorbed) in Patients with Systemic Juvenile Idiopathic Arthritis Treated with Genetically Engineered Biologic Drugs (Tocilizumab or Canakinumab): Prospective Cohort Study</w:t>
      </w:r>
    </w:p>
    <w:p w14:paraId="617091A0" w14:textId="77777777" w:rsidR="00F4078D" w:rsidRDefault="00F4078D">
      <w:pPr>
        <w:widowControl w:val="0"/>
        <w:spacing w:after="0" w:line="240" w:lineRule="auto"/>
        <w:jc w:val="both"/>
        <w:rPr>
          <w:rFonts w:ascii="Times New Roman" w:eastAsia="Times New Roman" w:hAnsi="Times New Roman" w:cs="Times New Roman"/>
          <w:sz w:val="24"/>
          <w:szCs w:val="24"/>
          <w:lang w:val="en-US"/>
        </w:rPr>
      </w:pPr>
    </w:p>
    <w:p w14:paraId="368F8D1A" w14:textId="77777777" w:rsidR="00F4078D" w:rsidRDefault="00DE3225">
      <w:pPr>
        <w:widowControl w:val="0"/>
        <w:spacing w:after="0" w:line="24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C</w:t>
      </w:r>
      <w:r w:rsidR="00C62C8B">
        <w:rPr>
          <w:rFonts w:ascii="Times New Roman" w:hAnsi="Times New Roman"/>
          <w:b/>
          <w:bCs/>
          <w:sz w:val="24"/>
          <w:szCs w:val="24"/>
          <w:lang w:val="en-US"/>
        </w:rPr>
        <w:t>orresponding</w:t>
      </w:r>
      <w:r>
        <w:rPr>
          <w:rFonts w:ascii="Times New Roman" w:hAnsi="Times New Roman"/>
          <w:b/>
          <w:bCs/>
          <w:sz w:val="24"/>
          <w:szCs w:val="24"/>
          <w:lang w:val="en-US"/>
        </w:rPr>
        <w:t xml:space="preserve"> </w:t>
      </w:r>
      <w:r w:rsidR="00C62C8B">
        <w:rPr>
          <w:rFonts w:ascii="Times New Roman" w:hAnsi="Times New Roman"/>
          <w:b/>
          <w:bCs/>
          <w:sz w:val="24"/>
          <w:szCs w:val="24"/>
          <w:lang w:val="en-US"/>
        </w:rPr>
        <w:t>author</w:t>
      </w:r>
      <w:r>
        <w:rPr>
          <w:rFonts w:ascii="Times New Roman" w:hAnsi="Times New Roman"/>
          <w:b/>
          <w:bCs/>
          <w:sz w:val="24"/>
          <w:szCs w:val="24"/>
          <w:lang w:val="en-US"/>
        </w:rPr>
        <w:t>:</w:t>
      </w:r>
    </w:p>
    <w:p w14:paraId="3C250074"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proofErr w:type="spellStart"/>
      <w:r>
        <w:rPr>
          <w:rFonts w:ascii="Times New Roman" w:hAnsi="Times New Roman"/>
          <w:i/>
          <w:iCs/>
          <w:sz w:val="24"/>
          <w:szCs w:val="24"/>
          <w:lang w:val="en-US"/>
        </w:rPr>
        <w:t>Vankova</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Dariya</w:t>
      </w:r>
      <w:proofErr w:type="spellEnd"/>
      <w:r>
        <w:rPr>
          <w:rFonts w:ascii="Times New Roman" w:hAnsi="Times New Roman"/>
          <w:i/>
          <w:iCs/>
          <w:sz w:val="24"/>
          <w:szCs w:val="24"/>
          <w:lang w:val="en-US"/>
        </w:rPr>
        <w:t xml:space="preserve"> D</w:t>
      </w:r>
      <w:r w:rsidR="00C62C8B">
        <w:rPr>
          <w:rFonts w:ascii="Times New Roman" w:hAnsi="Times New Roman"/>
          <w:i/>
          <w:iCs/>
          <w:sz w:val="24"/>
          <w:szCs w:val="24"/>
          <w:lang w:val="en-US"/>
        </w:rPr>
        <w:t>.</w:t>
      </w:r>
      <w:r>
        <w:rPr>
          <w:rFonts w:ascii="Times New Roman" w:hAnsi="Times New Roman"/>
          <w:sz w:val="24"/>
          <w:szCs w:val="24"/>
          <w:lang w:val="en-US"/>
        </w:rPr>
        <w:t>, post-graduate student of rheumatology department in National Medical Research Center for Children's Health</w:t>
      </w:r>
    </w:p>
    <w:p w14:paraId="728F2C18"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Address</w:t>
      </w:r>
      <w:r>
        <w:rPr>
          <w:rFonts w:ascii="Times New Roman" w:hAnsi="Times New Roman"/>
          <w:sz w:val="24"/>
          <w:szCs w:val="24"/>
          <w:lang w:val="en-US"/>
        </w:rPr>
        <w:t xml:space="preserve">: 119991, Moscow, </w:t>
      </w:r>
      <w:proofErr w:type="spellStart"/>
      <w:r>
        <w:rPr>
          <w:rFonts w:ascii="Times New Roman" w:hAnsi="Times New Roman"/>
          <w:sz w:val="24"/>
          <w:szCs w:val="24"/>
          <w:lang w:val="en-US"/>
        </w:rPr>
        <w:t>Lomonosovsky</w:t>
      </w:r>
      <w:proofErr w:type="spellEnd"/>
      <w:r>
        <w:rPr>
          <w:rFonts w:ascii="Times New Roman" w:hAnsi="Times New Roman"/>
          <w:sz w:val="24"/>
          <w:szCs w:val="24"/>
          <w:lang w:val="en-US"/>
        </w:rPr>
        <w:t xml:space="preserve"> Prospect, 2/62, </w:t>
      </w:r>
      <w:r w:rsidR="00C62C8B">
        <w:rPr>
          <w:rFonts w:ascii="Times New Roman" w:hAnsi="Times New Roman"/>
          <w:b/>
          <w:bCs/>
          <w:sz w:val="24"/>
          <w:szCs w:val="24"/>
          <w:lang w:val="en-US"/>
        </w:rPr>
        <w:t>phone</w:t>
      </w:r>
      <w:r>
        <w:rPr>
          <w:rFonts w:ascii="Times New Roman" w:hAnsi="Times New Roman"/>
          <w:sz w:val="24"/>
          <w:szCs w:val="24"/>
          <w:lang w:val="en-US"/>
        </w:rPr>
        <w:t xml:space="preserve">: +7 (499) 134-14-94, </w:t>
      </w:r>
      <w:r>
        <w:rPr>
          <w:rFonts w:ascii="Times New Roman" w:hAnsi="Times New Roman"/>
          <w:b/>
          <w:bCs/>
          <w:sz w:val="24"/>
          <w:szCs w:val="24"/>
          <w:lang w:val="en-US"/>
        </w:rPr>
        <w:t>e-mail</w:t>
      </w:r>
      <w:r>
        <w:rPr>
          <w:rFonts w:ascii="Times New Roman" w:hAnsi="Times New Roman"/>
          <w:sz w:val="24"/>
          <w:szCs w:val="24"/>
          <w:lang w:val="en-US"/>
        </w:rPr>
        <w:t>: DD1201@mail.ru</w:t>
      </w:r>
    </w:p>
    <w:p w14:paraId="799B7945" w14:textId="77777777" w:rsidR="00F4078D" w:rsidRDefault="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Article r</w:t>
      </w:r>
      <w:r w:rsidR="00DE3225">
        <w:rPr>
          <w:rFonts w:ascii="Times New Roman" w:hAnsi="Times New Roman"/>
          <w:b/>
          <w:bCs/>
          <w:sz w:val="24"/>
          <w:szCs w:val="24"/>
          <w:lang w:val="en-US"/>
        </w:rPr>
        <w:t>eceived</w:t>
      </w:r>
      <w:r w:rsidR="00DE3225">
        <w:rPr>
          <w:rFonts w:ascii="Times New Roman" w:hAnsi="Times New Roman"/>
          <w:sz w:val="24"/>
          <w:szCs w:val="24"/>
          <w:lang w:val="en-US"/>
        </w:rPr>
        <w:t xml:space="preserve">: </w:t>
      </w:r>
      <w:r>
        <w:rPr>
          <w:rFonts w:ascii="Times New Roman" w:hAnsi="Times New Roman"/>
          <w:sz w:val="24"/>
          <w:szCs w:val="24"/>
          <w:lang w:val="en-US"/>
        </w:rPr>
        <w:t xml:space="preserve">Apr 14, </w:t>
      </w:r>
      <w:r w:rsidR="00DE3225">
        <w:rPr>
          <w:rFonts w:ascii="Times New Roman" w:hAnsi="Times New Roman"/>
          <w:sz w:val="24"/>
          <w:szCs w:val="24"/>
          <w:lang w:val="en-US"/>
        </w:rPr>
        <w:t xml:space="preserve">2020, </w:t>
      </w:r>
      <w:r w:rsidR="00DE3225">
        <w:rPr>
          <w:rFonts w:ascii="Times New Roman" w:hAnsi="Times New Roman"/>
          <w:b/>
          <w:bCs/>
          <w:sz w:val="24"/>
          <w:szCs w:val="24"/>
          <w:lang w:val="en-US"/>
        </w:rPr>
        <w:t>accepted for publication</w:t>
      </w:r>
      <w:r w:rsidR="00DE3225">
        <w:rPr>
          <w:rFonts w:ascii="Times New Roman" w:hAnsi="Times New Roman"/>
          <w:sz w:val="24"/>
          <w:szCs w:val="24"/>
          <w:lang w:val="en-US"/>
        </w:rPr>
        <w:t xml:space="preserve">: </w:t>
      </w:r>
      <w:r>
        <w:rPr>
          <w:rFonts w:ascii="Times New Roman" w:hAnsi="Times New Roman"/>
          <w:sz w:val="24"/>
          <w:szCs w:val="24"/>
          <w:lang w:val="en-US"/>
        </w:rPr>
        <w:t xml:space="preserve">Jun 26, </w:t>
      </w:r>
      <w:r w:rsidR="00DE3225">
        <w:rPr>
          <w:rFonts w:ascii="Times New Roman" w:hAnsi="Times New Roman"/>
          <w:sz w:val="24"/>
          <w:szCs w:val="24"/>
          <w:lang w:val="en-US"/>
        </w:rPr>
        <w:t>2020</w:t>
      </w:r>
    </w:p>
    <w:p w14:paraId="5C884347" w14:textId="77777777" w:rsidR="00F4078D" w:rsidRDefault="00F4078D">
      <w:pPr>
        <w:widowControl w:val="0"/>
        <w:spacing w:after="0" w:line="240" w:lineRule="auto"/>
        <w:jc w:val="both"/>
        <w:rPr>
          <w:rFonts w:ascii="Times New Roman" w:eastAsia="Times New Roman" w:hAnsi="Times New Roman" w:cs="Times New Roman"/>
          <w:sz w:val="24"/>
          <w:szCs w:val="24"/>
          <w:lang w:val="en-US"/>
        </w:rPr>
      </w:pPr>
    </w:p>
    <w:p w14:paraId="7289D454" w14:textId="77777777" w:rsidR="00F4078D" w:rsidRDefault="00DE3225">
      <w:pPr>
        <w:widowControl w:val="0"/>
        <w:spacing w:after="0" w:line="240" w:lineRule="auto"/>
        <w:jc w:val="both"/>
        <w:rPr>
          <w:rFonts w:ascii="Times New Roman" w:eastAsia="Times New Roman" w:hAnsi="Times New Roman" w:cs="Times New Roman"/>
          <w:i/>
          <w:iCs/>
          <w:sz w:val="24"/>
          <w:szCs w:val="24"/>
          <w:lang w:val="en-US"/>
        </w:rPr>
      </w:pPr>
      <w:r>
        <w:rPr>
          <w:rFonts w:ascii="Times New Roman" w:hAnsi="Times New Roman"/>
          <w:b/>
          <w:bCs/>
          <w:i/>
          <w:iCs/>
          <w:sz w:val="24"/>
          <w:szCs w:val="24"/>
          <w:lang w:val="en-US"/>
        </w:rPr>
        <w:t>Background</w:t>
      </w:r>
      <w:r>
        <w:rPr>
          <w:rFonts w:ascii="Times New Roman" w:hAnsi="Times New Roman"/>
          <w:i/>
          <w:iCs/>
          <w:sz w:val="24"/>
          <w:szCs w:val="24"/>
          <w:lang w:val="en-US"/>
        </w:rPr>
        <w:t xml:space="preserve">. Immunological potency of 13-valent pneumococcal vaccine (PCV-13) in children with systemic juvenile idiopathic arthritis (SJIA) is still unstudied. Estimates of the genetically engineered biologic drugs (GEBD) effects on pneumococcal vaccination results also remain controversial. </w:t>
      </w:r>
      <w:r w:rsidR="00C62C8B" w:rsidRPr="00C62C8B">
        <w:rPr>
          <w:rFonts w:ascii="Times New Roman" w:hAnsi="Times New Roman"/>
          <w:b/>
          <w:i/>
          <w:iCs/>
          <w:sz w:val="24"/>
          <w:szCs w:val="24"/>
          <w:lang w:val="en-US"/>
        </w:rPr>
        <w:t>Objective</w:t>
      </w:r>
      <w:r w:rsidR="00C62C8B">
        <w:rPr>
          <w:rFonts w:ascii="Times New Roman" w:hAnsi="Times New Roman"/>
          <w:i/>
          <w:iCs/>
          <w:sz w:val="24"/>
          <w:szCs w:val="24"/>
          <w:lang w:val="en-US"/>
        </w:rPr>
        <w:t>. The aim of the study wa</w:t>
      </w:r>
      <w:r>
        <w:rPr>
          <w:rFonts w:ascii="Times New Roman" w:hAnsi="Times New Roman"/>
          <w:i/>
          <w:iCs/>
          <w:sz w:val="24"/>
          <w:szCs w:val="24"/>
          <w:lang w:val="en-US"/>
        </w:rPr>
        <w:t xml:space="preserve">s to explore the PCV-13 efficacy in patients with SJIA and who is on treatment with monoclonal antibodies against interleukin 6 receptor (tocilizumab) and interleukin 8 receptor beta (canakinumab). </w:t>
      </w:r>
      <w:r>
        <w:rPr>
          <w:rFonts w:ascii="Times New Roman" w:hAnsi="Times New Roman"/>
          <w:b/>
          <w:bCs/>
          <w:i/>
          <w:iCs/>
          <w:sz w:val="24"/>
          <w:szCs w:val="24"/>
          <w:lang w:val="en-US"/>
        </w:rPr>
        <w:t>Methods</w:t>
      </w:r>
      <w:r>
        <w:rPr>
          <w:rFonts w:ascii="Times New Roman" w:hAnsi="Times New Roman"/>
          <w:i/>
          <w:iCs/>
          <w:sz w:val="24"/>
          <w:szCs w:val="24"/>
          <w:lang w:val="en-US"/>
        </w:rPr>
        <w:t xml:space="preserve">. The study included patients under the age of 18 with SJIA in remission or active form of disease vaccinated with PCV-13. The vaccine was administered in single dose of 0.5 ml intramuscularly in patients on treatment with GEBD or 3 weeks before GEBD administration for the first time (for patients with active disease). Vaccination was considered effective at achievement of the minimum protective level of antibodies to capsular polysaccharide of pneumococcus (anti-SPP IgG; ≥7U/ml) or increase of anti-SPP IgG level ≥2 times in 4 weeks after vaccination. The anti-SPP IgG levels were measured with enzyme immunoassay. </w:t>
      </w:r>
      <w:r>
        <w:rPr>
          <w:rFonts w:ascii="Times New Roman" w:hAnsi="Times New Roman"/>
          <w:b/>
          <w:bCs/>
          <w:i/>
          <w:iCs/>
          <w:sz w:val="24"/>
          <w:szCs w:val="24"/>
          <w:lang w:val="en-US"/>
        </w:rPr>
        <w:t>Results</w:t>
      </w:r>
      <w:r>
        <w:rPr>
          <w:rFonts w:ascii="Times New Roman" w:hAnsi="Times New Roman"/>
          <w:i/>
          <w:iCs/>
          <w:sz w:val="24"/>
          <w:szCs w:val="24"/>
          <w:lang w:val="en-US"/>
        </w:rPr>
        <w:t xml:space="preserve">. The study included 53 patients (27 girls) in remission of SJIA and 25 (16 girls) in active disease. Median age was 13.3 and 10.8 years respectively. Tocilizumab/canakinumab was administrated in 43/10 and 18/7 patients respectively. Minimum significant anti-SPP IgG level and two-fold increase in anti-SPP IgG level were recorded in 49/53 (92%) and 32/53 (60%) patients with SJIA in remission, as well as in 22/25 (88%) and 18/25 (72%) patients in active disease respectively. PCV-13 immunological potency in patients with SJIA in remission and in active disease (in those who were initially administrated and who did not receive GEBD) did not differ. </w:t>
      </w:r>
      <w:r>
        <w:rPr>
          <w:rFonts w:ascii="Times New Roman" w:hAnsi="Times New Roman"/>
          <w:b/>
          <w:bCs/>
          <w:i/>
          <w:iCs/>
          <w:sz w:val="24"/>
          <w:szCs w:val="24"/>
          <w:lang w:val="en-US"/>
        </w:rPr>
        <w:t>Conclusion</w:t>
      </w:r>
      <w:r>
        <w:rPr>
          <w:rFonts w:ascii="Times New Roman" w:hAnsi="Times New Roman"/>
          <w:i/>
          <w:iCs/>
          <w:sz w:val="24"/>
          <w:szCs w:val="24"/>
          <w:lang w:val="en-US"/>
        </w:rPr>
        <w:t xml:space="preserve">. PCV-13 vaccination allows to achieve protective antibodies level in most of the patients with SJIA in children population regardless of the disease stage and the </w:t>
      </w:r>
      <w:r w:rsidR="0029361A">
        <w:rPr>
          <w:rFonts w:ascii="Times New Roman" w:hAnsi="Times New Roman"/>
          <w:i/>
          <w:iCs/>
          <w:sz w:val="24"/>
          <w:szCs w:val="24"/>
          <w:lang w:val="en-US"/>
        </w:rPr>
        <w:t>history of GEBD administration.</w:t>
      </w:r>
    </w:p>
    <w:p w14:paraId="2CA39D0B" w14:textId="77777777" w:rsidR="00F4078D" w:rsidRDefault="00DE3225">
      <w:pPr>
        <w:widowControl w:val="0"/>
        <w:spacing w:after="0" w:line="240" w:lineRule="auto"/>
        <w:jc w:val="both"/>
        <w:rPr>
          <w:rFonts w:ascii="Times New Roman" w:eastAsia="Times New Roman" w:hAnsi="Times New Roman" w:cs="Times New Roman"/>
          <w:i/>
          <w:iCs/>
          <w:sz w:val="24"/>
          <w:szCs w:val="24"/>
          <w:lang w:val="en-US"/>
        </w:rPr>
      </w:pPr>
      <w:r>
        <w:rPr>
          <w:rFonts w:ascii="Times New Roman" w:hAnsi="Times New Roman"/>
          <w:b/>
          <w:bCs/>
          <w:i/>
          <w:iCs/>
          <w:sz w:val="24"/>
          <w:szCs w:val="24"/>
          <w:lang w:val="en-US"/>
        </w:rPr>
        <w:t>Key words</w:t>
      </w:r>
      <w:r>
        <w:rPr>
          <w:rFonts w:ascii="Times New Roman" w:hAnsi="Times New Roman"/>
          <w:i/>
          <w:iCs/>
          <w:sz w:val="24"/>
          <w:szCs w:val="24"/>
          <w:lang w:val="en-US"/>
        </w:rPr>
        <w:t>: pneumococcal vaccine, systemic juvenile idiopathic arthritis, genetically engineered biologic drugs, tocilizumab, canakinumab, immunological potency, anti-SPP IgG.</w:t>
      </w:r>
    </w:p>
    <w:p w14:paraId="1BCC72A9"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i/>
          <w:iCs/>
          <w:sz w:val="24"/>
          <w:szCs w:val="24"/>
          <w:lang w:val="en-US"/>
        </w:rPr>
        <w:t>For citation</w:t>
      </w:r>
      <w:r>
        <w:rPr>
          <w:rFonts w:ascii="Times New Roman" w:hAnsi="Times New Roman"/>
          <w:sz w:val="24"/>
          <w:szCs w:val="24"/>
          <w:lang w:val="en-US"/>
        </w:rPr>
        <w:t xml:space="preserve">: </w:t>
      </w:r>
      <w:proofErr w:type="spellStart"/>
      <w:r>
        <w:rPr>
          <w:rFonts w:ascii="Times New Roman" w:hAnsi="Times New Roman"/>
          <w:sz w:val="24"/>
          <w:szCs w:val="24"/>
          <w:lang w:val="en-US"/>
        </w:rPr>
        <w:t>Alexeeva</w:t>
      </w:r>
      <w:proofErr w:type="spellEnd"/>
      <w:r>
        <w:rPr>
          <w:rFonts w:ascii="Times New Roman" w:hAnsi="Times New Roman"/>
          <w:sz w:val="24"/>
          <w:szCs w:val="24"/>
          <w:lang w:val="en-US"/>
        </w:rPr>
        <w:t xml:space="preserve"> Ekaterina I., </w:t>
      </w:r>
      <w:proofErr w:type="spellStart"/>
      <w:r>
        <w:rPr>
          <w:rFonts w:ascii="Times New Roman" w:hAnsi="Times New Roman"/>
          <w:sz w:val="24"/>
          <w:szCs w:val="24"/>
          <w:lang w:val="en-US"/>
        </w:rPr>
        <w:t>Vankova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Dariya</w:t>
      </w:r>
      <w:proofErr w:type="spellEnd"/>
      <w:r>
        <w:rPr>
          <w:rFonts w:ascii="Times New Roman" w:hAnsi="Times New Roman"/>
          <w:sz w:val="24"/>
          <w:szCs w:val="24"/>
          <w:lang w:val="en-US"/>
        </w:rPr>
        <w:t xml:space="preserve"> D., </w:t>
      </w:r>
      <w:proofErr w:type="spellStart"/>
      <w:r>
        <w:rPr>
          <w:rFonts w:ascii="Times New Roman" w:hAnsi="Times New Roman"/>
          <w:sz w:val="24"/>
          <w:szCs w:val="24"/>
          <w:lang w:val="en-US"/>
        </w:rPr>
        <w:t>Dvoryakovskaya</w:t>
      </w:r>
      <w:proofErr w:type="spellEnd"/>
      <w:r>
        <w:rPr>
          <w:rFonts w:ascii="Times New Roman" w:hAnsi="Times New Roman"/>
          <w:sz w:val="24"/>
          <w:szCs w:val="24"/>
          <w:lang w:val="en-US"/>
        </w:rPr>
        <w:t xml:space="preserve"> Tatyana M., </w:t>
      </w:r>
      <w:proofErr w:type="spellStart"/>
      <w:r>
        <w:rPr>
          <w:rFonts w:ascii="Times New Roman" w:hAnsi="Times New Roman"/>
          <w:sz w:val="24"/>
          <w:szCs w:val="24"/>
          <w:lang w:val="en-US"/>
        </w:rPr>
        <w:t>Isaeva</w:t>
      </w:r>
      <w:proofErr w:type="spellEnd"/>
      <w:r>
        <w:rPr>
          <w:rFonts w:ascii="Times New Roman" w:hAnsi="Times New Roman"/>
          <w:sz w:val="24"/>
          <w:szCs w:val="24"/>
          <w:lang w:val="en-US"/>
        </w:rPr>
        <w:t xml:space="preserve"> Ksenia B., </w:t>
      </w:r>
      <w:proofErr w:type="spellStart"/>
      <w:r>
        <w:rPr>
          <w:rFonts w:ascii="Times New Roman" w:hAnsi="Times New Roman"/>
          <w:sz w:val="24"/>
          <w:szCs w:val="24"/>
          <w:lang w:val="en-US"/>
        </w:rPr>
        <w:t>Denisova</w:t>
      </w:r>
      <w:proofErr w:type="spellEnd"/>
      <w:r>
        <w:rPr>
          <w:rFonts w:ascii="Times New Roman" w:hAnsi="Times New Roman"/>
          <w:sz w:val="24"/>
          <w:szCs w:val="24"/>
          <w:lang w:val="en-US"/>
        </w:rPr>
        <w:t xml:space="preserve"> Rina V., </w:t>
      </w:r>
      <w:proofErr w:type="spellStart"/>
      <w:r>
        <w:rPr>
          <w:rFonts w:ascii="Times New Roman" w:hAnsi="Times New Roman"/>
          <w:sz w:val="24"/>
          <w:szCs w:val="24"/>
          <w:lang w:val="en-US"/>
        </w:rPr>
        <w:t>Mamutova</w:t>
      </w:r>
      <w:proofErr w:type="spellEnd"/>
      <w:r>
        <w:rPr>
          <w:rFonts w:ascii="Times New Roman" w:hAnsi="Times New Roman"/>
          <w:sz w:val="24"/>
          <w:szCs w:val="24"/>
          <w:lang w:val="en-US"/>
        </w:rPr>
        <w:t xml:space="preserve"> Anna V., </w:t>
      </w:r>
      <w:proofErr w:type="spellStart"/>
      <w:r>
        <w:rPr>
          <w:rFonts w:ascii="Times New Roman" w:hAnsi="Times New Roman"/>
          <w:sz w:val="24"/>
          <w:szCs w:val="24"/>
          <w:lang w:val="en-US"/>
        </w:rPr>
        <w:t>Chomakhidze</w:t>
      </w:r>
      <w:proofErr w:type="spellEnd"/>
      <w:r>
        <w:rPr>
          <w:rFonts w:ascii="Times New Roman" w:hAnsi="Times New Roman"/>
          <w:sz w:val="24"/>
          <w:szCs w:val="24"/>
          <w:lang w:val="en-US"/>
        </w:rPr>
        <w:t xml:space="preserve"> Aleksandra M., </w:t>
      </w:r>
      <w:proofErr w:type="spellStart"/>
      <w:r>
        <w:rPr>
          <w:rFonts w:ascii="Times New Roman" w:hAnsi="Times New Roman"/>
          <w:sz w:val="24"/>
          <w:szCs w:val="24"/>
          <w:lang w:val="en-US"/>
        </w:rPr>
        <w:t>Radygina</w:t>
      </w:r>
      <w:proofErr w:type="spellEnd"/>
      <w:r>
        <w:rPr>
          <w:rFonts w:ascii="Times New Roman" w:hAnsi="Times New Roman"/>
          <w:sz w:val="24"/>
          <w:szCs w:val="24"/>
          <w:lang w:val="en-US"/>
        </w:rPr>
        <w:t xml:space="preserve"> Tatyana V., Zubkova Irina V., </w:t>
      </w:r>
      <w:proofErr w:type="spellStart"/>
      <w:r>
        <w:rPr>
          <w:rFonts w:ascii="Times New Roman" w:hAnsi="Times New Roman"/>
          <w:sz w:val="24"/>
          <w:szCs w:val="24"/>
          <w:lang w:val="en-US"/>
        </w:rPr>
        <w:t>Tkachenko</w:t>
      </w:r>
      <w:proofErr w:type="spellEnd"/>
      <w:r>
        <w:rPr>
          <w:rFonts w:ascii="Times New Roman" w:hAnsi="Times New Roman"/>
          <w:sz w:val="24"/>
          <w:szCs w:val="24"/>
          <w:lang w:val="en-US"/>
        </w:rPr>
        <w:t xml:space="preserve"> Natalia E., </w:t>
      </w:r>
      <w:proofErr w:type="spellStart"/>
      <w:r>
        <w:rPr>
          <w:rFonts w:ascii="Times New Roman" w:hAnsi="Times New Roman"/>
          <w:sz w:val="24"/>
          <w:szCs w:val="24"/>
          <w:lang w:val="en-US"/>
        </w:rPr>
        <w:t>Fetisova</w:t>
      </w:r>
      <w:proofErr w:type="spellEnd"/>
      <w:r>
        <w:rPr>
          <w:rFonts w:ascii="Times New Roman" w:hAnsi="Times New Roman"/>
          <w:sz w:val="24"/>
          <w:szCs w:val="24"/>
          <w:lang w:val="en-US"/>
        </w:rPr>
        <w:t xml:space="preserve"> Anna N., </w:t>
      </w:r>
      <w:proofErr w:type="spellStart"/>
      <w:r>
        <w:rPr>
          <w:rFonts w:ascii="Times New Roman" w:hAnsi="Times New Roman"/>
          <w:sz w:val="24"/>
          <w:szCs w:val="24"/>
          <w:lang w:val="en-US"/>
        </w:rPr>
        <w:t>Lomakina</w:t>
      </w:r>
      <w:proofErr w:type="spellEnd"/>
      <w:r>
        <w:rPr>
          <w:rFonts w:ascii="Times New Roman" w:hAnsi="Times New Roman"/>
          <w:sz w:val="24"/>
          <w:szCs w:val="24"/>
          <w:lang w:val="en-US"/>
        </w:rPr>
        <w:t xml:space="preserve"> Olga L., </w:t>
      </w:r>
      <w:proofErr w:type="spellStart"/>
      <w:r>
        <w:rPr>
          <w:rFonts w:ascii="Times New Roman" w:hAnsi="Times New Roman"/>
          <w:sz w:val="24"/>
          <w:szCs w:val="24"/>
          <w:lang w:val="en-US"/>
        </w:rPr>
        <w:t>Orlova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Yanina</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Kurdup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Mariya</w:t>
      </w:r>
      <w:proofErr w:type="spellEnd"/>
      <w:r>
        <w:rPr>
          <w:rFonts w:ascii="Times New Roman" w:hAnsi="Times New Roman"/>
          <w:sz w:val="24"/>
          <w:szCs w:val="24"/>
          <w:lang w:val="en-US"/>
        </w:rPr>
        <w:t xml:space="preserve"> K., Gautier Marina S., </w:t>
      </w:r>
      <w:proofErr w:type="spellStart"/>
      <w:r>
        <w:rPr>
          <w:rFonts w:ascii="Times New Roman" w:hAnsi="Times New Roman"/>
          <w:sz w:val="24"/>
          <w:szCs w:val="24"/>
          <w:lang w:val="en-US"/>
        </w:rPr>
        <w:t>Krekhova</w:t>
      </w:r>
      <w:proofErr w:type="spellEnd"/>
      <w:r>
        <w:rPr>
          <w:rFonts w:ascii="Times New Roman" w:hAnsi="Times New Roman"/>
          <w:sz w:val="24"/>
          <w:szCs w:val="24"/>
          <w:lang w:val="en-US"/>
        </w:rPr>
        <w:t xml:space="preserve"> Elizaveta A., </w:t>
      </w:r>
      <w:proofErr w:type="spellStart"/>
      <w:r>
        <w:rPr>
          <w:rFonts w:ascii="Times New Roman" w:hAnsi="Times New Roman"/>
          <w:sz w:val="24"/>
          <w:szCs w:val="24"/>
          <w:lang w:val="en-US"/>
        </w:rPr>
        <w:t>Shingarova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Meyri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Galkina</w:t>
      </w:r>
      <w:proofErr w:type="spellEnd"/>
      <w:r>
        <w:rPr>
          <w:rFonts w:ascii="Times New Roman" w:hAnsi="Times New Roman"/>
          <w:sz w:val="24"/>
          <w:szCs w:val="24"/>
          <w:lang w:val="en-US"/>
        </w:rPr>
        <w:t xml:space="preserve"> Olga P. Efficacy of Pneumococcal Polysaccharide Conjugate Vaccine (13-</w:t>
      </w:r>
      <w:r>
        <w:rPr>
          <w:rFonts w:ascii="Times New Roman" w:hAnsi="Times New Roman"/>
          <w:sz w:val="24"/>
          <w:szCs w:val="24"/>
          <w:lang w:val="en-US"/>
        </w:rPr>
        <w:lastRenderedPageBreak/>
        <w:t xml:space="preserve">valent, Adsorbed) in Patients with Systemic Juvenile Idiopathic Arthritis Treated with Genetically Engineered Biologic Drugs (Tocilizumab or Canakinumab): Prospective Cohort Study. </w:t>
      </w:r>
      <w:r w:rsidR="00567F27" w:rsidRPr="006C5A99">
        <w:rPr>
          <w:rFonts w:ascii="Times New Roman" w:hAnsi="Times New Roman" w:cs="Times New Roman"/>
          <w:i/>
          <w:sz w:val="24"/>
          <w:lang w:val="en-US"/>
        </w:rPr>
        <w:t>Voprosy sovremennoi pediatrii — Current Pediatrics</w:t>
      </w:r>
      <w:r w:rsidR="00567F27" w:rsidRPr="006C5A99">
        <w:rPr>
          <w:rFonts w:ascii="Times New Roman" w:hAnsi="Times New Roman" w:cs="Times New Roman"/>
          <w:sz w:val="24"/>
          <w:lang w:val="en-US"/>
        </w:rPr>
        <w:t>. 2020; 19 (3): 190–199. doi: 10.15690/</w:t>
      </w:r>
      <w:proofErr w:type="gramStart"/>
      <w:r w:rsidR="00567F27" w:rsidRPr="006C5A99">
        <w:rPr>
          <w:rFonts w:ascii="Times New Roman" w:hAnsi="Times New Roman" w:cs="Times New Roman"/>
          <w:sz w:val="24"/>
          <w:lang w:val="en-US"/>
        </w:rPr>
        <w:t>vsp.v</w:t>
      </w:r>
      <w:proofErr w:type="gramEnd"/>
      <w:r w:rsidR="00567F27" w:rsidRPr="006C5A99">
        <w:rPr>
          <w:rFonts w:ascii="Times New Roman" w:hAnsi="Times New Roman" w:cs="Times New Roman"/>
          <w:sz w:val="24"/>
          <w:lang w:val="en-US"/>
        </w:rPr>
        <w:t>19i3.2114</w:t>
      </w:r>
    </w:p>
    <w:p w14:paraId="0D5771B3" w14:textId="77777777" w:rsidR="00F4078D" w:rsidRDefault="00F4078D">
      <w:pPr>
        <w:widowControl w:val="0"/>
        <w:spacing w:after="0" w:line="240" w:lineRule="auto"/>
        <w:jc w:val="both"/>
        <w:rPr>
          <w:rFonts w:ascii="Times New Roman" w:eastAsia="Times New Roman" w:hAnsi="Times New Roman" w:cs="Times New Roman"/>
          <w:sz w:val="24"/>
          <w:szCs w:val="24"/>
          <w:lang w:val="en-US"/>
        </w:rPr>
      </w:pPr>
    </w:p>
    <w:p w14:paraId="6EB18B42" w14:textId="77777777" w:rsidR="00F4078D" w:rsidRPr="00C62C8B" w:rsidRDefault="00C62C8B">
      <w:pPr>
        <w:pStyle w:val="a5"/>
        <w:jc w:val="both"/>
        <w:rPr>
          <w:b/>
          <w:sz w:val="24"/>
          <w:szCs w:val="24"/>
          <w:lang w:val="en-US"/>
        </w:rPr>
      </w:pPr>
      <w:r w:rsidRPr="00C62C8B">
        <w:rPr>
          <w:b/>
          <w:sz w:val="24"/>
          <w:szCs w:val="24"/>
          <w:lang w:val="en-US"/>
        </w:rPr>
        <w:t>RESULTS</w:t>
      </w:r>
    </w:p>
    <w:p w14:paraId="2C385BC3" w14:textId="77777777" w:rsidR="00F4078D"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Table 1.</w:t>
      </w:r>
      <w:r>
        <w:rPr>
          <w:rFonts w:ascii="Times New Roman" w:hAnsi="Times New Roman"/>
          <w:sz w:val="24"/>
          <w:szCs w:val="24"/>
          <w:lang w:val="en-US"/>
        </w:rPr>
        <w:t xml:space="preserve"> Characteristics of patients with SJIA included in the study</w:t>
      </w:r>
    </w:p>
    <w:tbl>
      <w:tblPr>
        <w:tblStyle w:val="TableNormal"/>
        <w:tblW w:w="83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1843"/>
        <w:gridCol w:w="1843"/>
      </w:tblGrid>
      <w:tr w:rsidR="00F4078D" w:rsidRPr="0029361A" w14:paraId="26D17FCC" w14:textId="77777777">
        <w:trPr>
          <w:trHeight w:val="45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51A31"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b/>
                <w:bCs/>
                <w:sz w:val="20"/>
                <w:szCs w:val="20"/>
                <w:lang w:val="en-US"/>
              </w:rPr>
              <w:t>Indicators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A6ED0"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b/>
                <w:bCs/>
                <w:sz w:val="20"/>
                <w:szCs w:val="20"/>
              </w:rPr>
              <w:t xml:space="preserve">SJIA, </w:t>
            </w:r>
            <w:r w:rsidRPr="0029361A">
              <w:rPr>
                <w:rFonts w:ascii="Times New Roman" w:hAnsi="Times New Roman" w:cs="Times New Roman"/>
                <w:b/>
                <w:bCs/>
                <w:sz w:val="20"/>
                <w:szCs w:val="20"/>
                <w:lang w:val="en-US"/>
              </w:rPr>
              <w:t>remission</w:t>
            </w:r>
            <w:r w:rsidRPr="0029361A">
              <w:rPr>
                <w:rFonts w:ascii="Times New Roman" w:hAnsi="Times New Roman" w:cs="Times New Roman"/>
                <w:b/>
                <w:bCs/>
                <w:sz w:val="20"/>
                <w:szCs w:val="20"/>
              </w:rPr>
              <w:t xml:space="preserve"> (</w:t>
            </w:r>
            <w:r w:rsidRPr="0029361A">
              <w:rPr>
                <w:rFonts w:ascii="Times New Roman" w:hAnsi="Times New Roman" w:cs="Times New Roman"/>
                <w:b/>
                <w:bCs/>
                <w:i/>
                <w:iCs/>
                <w:sz w:val="20"/>
                <w:szCs w:val="20"/>
              </w:rPr>
              <w:t>n</w:t>
            </w:r>
            <w:r w:rsidRPr="0029361A">
              <w:rPr>
                <w:rFonts w:ascii="Times New Roman" w:hAnsi="Times New Roman" w:cs="Times New Roman"/>
                <w:b/>
                <w:bCs/>
                <w:sz w:val="20"/>
                <w:szCs w:val="20"/>
              </w:rPr>
              <w:t> = 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A176C"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b/>
                <w:bCs/>
                <w:sz w:val="20"/>
                <w:szCs w:val="20"/>
              </w:rPr>
              <w:t xml:space="preserve">SJIA, </w:t>
            </w:r>
            <w:r w:rsidRPr="0029361A">
              <w:rPr>
                <w:rFonts w:ascii="Times New Roman" w:hAnsi="Times New Roman" w:cs="Times New Roman"/>
                <w:b/>
                <w:bCs/>
                <w:sz w:val="20"/>
                <w:szCs w:val="20"/>
                <w:lang w:val="en-US"/>
              </w:rPr>
              <w:t>active</w:t>
            </w:r>
            <w:r w:rsidRPr="0029361A">
              <w:rPr>
                <w:rFonts w:ascii="Times New Roman" w:hAnsi="Times New Roman" w:cs="Times New Roman"/>
                <w:b/>
                <w:bCs/>
                <w:sz w:val="20"/>
                <w:szCs w:val="20"/>
              </w:rPr>
              <w:t xml:space="preserve"> (</w:t>
            </w:r>
            <w:r w:rsidRPr="0029361A">
              <w:rPr>
                <w:rFonts w:ascii="Times New Roman" w:hAnsi="Times New Roman" w:cs="Times New Roman"/>
                <w:b/>
                <w:bCs/>
                <w:i/>
                <w:iCs/>
                <w:sz w:val="20"/>
                <w:szCs w:val="20"/>
              </w:rPr>
              <w:t>n</w:t>
            </w:r>
            <w:r w:rsidRPr="0029361A">
              <w:rPr>
                <w:rFonts w:ascii="Times New Roman" w:hAnsi="Times New Roman" w:cs="Times New Roman"/>
                <w:b/>
                <w:bCs/>
                <w:sz w:val="20"/>
                <w:szCs w:val="20"/>
              </w:rPr>
              <w:t> = 25)</w:t>
            </w:r>
          </w:p>
        </w:tc>
      </w:tr>
      <w:tr w:rsidR="00F4078D" w:rsidRPr="0029361A" w14:paraId="78E1EDBC"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208EB9"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Gender</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female</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abs</w:t>
            </w:r>
            <w:r w:rsidRPr="0029361A">
              <w:rPr>
                <w:rFonts w:ascii="Times New Roman" w:hAnsi="Times New Roman" w:cs="Times New Roman"/>
                <w:sz w:val="20"/>
                <w:szCs w:val="20"/>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03256"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27 (51)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7F2FE"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16 (64)</w:t>
            </w:r>
          </w:p>
        </w:tc>
      </w:tr>
      <w:tr w:rsidR="00F4078D" w:rsidRPr="0029361A" w14:paraId="5209DD92"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A41FB"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Age</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years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1F74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13,3 (8,3; 15,0)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72D83"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10,8 (6,3; 14,9)</w:t>
            </w:r>
          </w:p>
        </w:tc>
      </w:tr>
      <w:tr w:rsidR="00F4078D" w:rsidRPr="0029361A" w14:paraId="4C39A185" w14:textId="77777777">
        <w:trPr>
          <w:trHeight w:val="280"/>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601DA"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SJIA</w:t>
            </w:r>
            <w:r w:rsidRPr="0029361A">
              <w:rPr>
                <w:rFonts w:ascii="Times New Roman" w:hAnsi="Times New Roman" w:cs="Times New Roman"/>
                <w:lang w:val="en-US"/>
              </w:rPr>
              <w:t xml:space="preserve"> </w:t>
            </w:r>
            <w:r w:rsidRPr="0029361A">
              <w:rPr>
                <w:rFonts w:ascii="Times New Roman" w:hAnsi="Times New Roman" w:cs="Times New Roman"/>
                <w:sz w:val="20"/>
                <w:szCs w:val="20"/>
                <w:lang w:val="en-US"/>
              </w:rPr>
              <w:t>onset age, years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203E7"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4,0 (1,9; 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5C8A7C"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5,3 (2,3; 8,9)</w:t>
            </w:r>
          </w:p>
        </w:tc>
      </w:tr>
      <w:tr w:rsidR="00F4078D" w:rsidRPr="0029361A" w14:paraId="1D460125"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64980"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Duration of disease, months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E99B3"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65 (27; 108)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B5EF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23 (8; 64)</w:t>
            </w:r>
          </w:p>
        </w:tc>
      </w:tr>
      <w:tr w:rsidR="00F4078D" w:rsidRPr="0029361A" w14:paraId="38085F3A"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6A7C2"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R</w:t>
            </w:r>
            <w:proofErr w:type="spellStart"/>
            <w:r w:rsidRPr="0029361A">
              <w:rPr>
                <w:rFonts w:ascii="Times New Roman" w:hAnsi="Times New Roman" w:cs="Times New Roman"/>
                <w:sz w:val="20"/>
                <w:szCs w:val="20"/>
              </w:rPr>
              <w:t>emission</w:t>
            </w:r>
            <w:proofErr w:type="spellEnd"/>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duration</w:t>
            </w:r>
            <w:proofErr w:type="spellEnd"/>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months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839D"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27 (6; 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BD21C"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w:t>
            </w:r>
          </w:p>
        </w:tc>
      </w:tr>
      <w:tr w:rsidR="00F4078D" w:rsidRPr="0029361A" w14:paraId="72E53688"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A12DB" w14:textId="77777777" w:rsidR="00F4078D" w:rsidRPr="0029361A" w:rsidRDefault="00DE3225">
            <w:pPr>
              <w:spacing w:after="0" w:line="240" w:lineRule="auto"/>
              <w:jc w:val="both"/>
              <w:rPr>
                <w:rFonts w:ascii="Times New Roman" w:hAnsi="Times New Roman" w:cs="Times New Roman"/>
              </w:rPr>
            </w:pPr>
            <w:proofErr w:type="spellStart"/>
            <w:r w:rsidRPr="0029361A">
              <w:rPr>
                <w:rFonts w:ascii="Times New Roman" w:hAnsi="Times New Roman" w:cs="Times New Roman"/>
                <w:sz w:val="20"/>
                <w:szCs w:val="20"/>
              </w:rPr>
              <w:t>Chronic</w:t>
            </w:r>
            <w:proofErr w:type="spellEnd"/>
            <w:r w:rsidRPr="0029361A">
              <w:rPr>
                <w:rFonts w:ascii="Times New Roman" w:hAnsi="Times New Roman" w:cs="Times New Roman"/>
                <w:sz w:val="20"/>
                <w:szCs w:val="20"/>
              </w:rPr>
              <w:t xml:space="preserve"> ENT </w:t>
            </w:r>
            <w:proofErr w:type="spellStart"/>
            <w:r w:rsidRPr="0029361A">
              <w:rPr>
                <w:rFonts w:ascii="Times New Roman" w:hAnsi="Times New Roman" w:cs="Times New Roman"/>
                <w:sz w:val="20"/>
                <w:szCs w:val="20"/>
              </w:rPr>
              <w:t>diseases</w:t>
            </w:r>
            <w:proofErr w:type="spellEnd"/>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abs</w:t>
            </w:r>
            <w:r w:rsidRPr="0029361A">
              <w:rPr>
                <w:rFonts w:ascii="Times New Roman" w:hAnsi="Times New Roman" w:cs="Times New Roman"/>
                <w:sz w:val="20"/>
                <w:szCs w:val="20"/>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F22CC8"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22 (42)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CCA9A"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10 (40)</w:t>
            </w:r>
          </w:p>
        </w:tc>
      </w:tr>
      <w:tr w:rsidR="00F4078D" w:rsidRPr="0029361A" w14:paraId="1ACF3756" w14:textId="77777777">
        <w:trPr>
          <w:trHeight w:val="2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9EF46" w14:textId="77777777" w:rsidR="00F4078D" w:rsidRPr="0029361A" w:rsidRDefault="00DE3225">
            <w:pPr>
              <w:spacing w:after="0" w:line="240" w:lineRule="auto"/>
              <w:jc w:val="both"/>
              <w:rPr>
                <w:rFonts w:ascii="Times New Roman" w:hAnsi="Times New Roman" w:cs="Times New Roman"/>
              </w:rPr>
            </w:pPr>
            <w:r w:rsidRPr="0029361A">
              <w:rPr>
                <w:rFonts w:ascii="Times New Roman" w:hAnsi="Times New Roman" w:cs="Times New Roman"/>
                <w:sz w:val="20"/>
                <w:szCs w:val="20"/>
                <w:lang w:val="en-US"/>
              </w:rPr>
              <w:t xml:space="preserve">Pathogenic flora of nasopharynx **, abs. </w:t>
            </w:r>
            <w:r w:rsidRPr="0029361A">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D319D"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8 (15)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51E1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7 (28)</w:t>
            </w:r>
          </w:p>
        </w:tc>
      </w:tr>
      <w:tr w:rsidR="00F4078D" w:rsidRPr="0029361A" w14:paraId="0A4CA512" w14:textId="77777777">
        <w:trPr>
          <w:trHeight w:val="13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AAAD2" w14:textId="77777777" w:rsidR="00F4078D" w:rsidRPr="0029361A" w:rsidRDefault="00DE3225">
            <w:pPr>
              <w:suppressAutoHyphens/>
              <w:spacing w:after="0" w:line="240" w:lineRule="auto"/>
              <w:jc w:val="both"/>
              <w:rPr>
                <w:rFonts w:ascii="Times New Roman" w:eastAsia="Times New Roman" w:hAnsi="Times New Roman" w:cs="Times New Roman"/>
                <w:sz w:val="20"/>
                <w:szCs w:val="20"/>
              </w:rPr>
            </w:pPr>
            <w:r w:rsidRPr="0029361A">
              <w:rPr>
                <w:rFonts w:ascii="Times New Roman" w:hAnsi="Times New Roman" w:cs="Times New Roman"/>
                <w:sz w:val="20"/>
                <w:szCs w:val="20"/>
                <w:lang w:val="en-US"/>
              </w:rPr>
              <w:t xml:space="preserve">Therapy before vaccination, abs. </w:t>
            </w:r>
            <w:r w:rsidRPr="0029361A">
              <w:rPr>
                <w:rFonts w:ascii="Times New Roman" w:hAnsi="Times New Roman" w:cs="Times New Roman"/>
                <w:sz w:val="20"/>
                <w:szCs w:val="20"/>
              </w:rPr>
              <w:t>(%)</w:t>
            </w:r>
          </w:p>
          <w:p w14:paraId="54C80631" w14:textId="77777777" w:rsidR="00F4078D" w:rsidRPr="0029361A" w:rsidRDefault="00DE3225">
            <w:pPr>
              <w:numPr>
                <w:ilvl w:val="0"/>
                <w:numId w:val="1"/>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GCs</w:t>
            </w:r>
            <w:r w:rsidRPr="0029361A">
              <w:rPr>
                <w:rFonts w:ascii="Times New Roman" w:hAnsi="Times New Roman" w:cs="Times New Roman"/>
                <w:sz w:val="20"/>
                <w:szCs w:val="20"/>
              </w:rPr>
              <w:t xml:space="preserve"> </w:t>
            </w:r>
            <w:proofErr w:type="spellStart"/>
            <w:r w:rsidRPr="0029361A">
              <w:rPr>
                <w:rFonts w:ascii="Times New Roman" w:hAnsi="Times New Roman" w:cs="Times New Roman"/>
                <w:i/>
                <w:sz w:val="20"/>
                <w:szCs w:val="20"/>
              </w:rPr>
              <w:t>per</w:t>
            </w:r>
            <w:proofErr w:type="spellEnd"/>
            <w:r w:rsidRPr="0029361A">
              <w:rPr>
                <w:rFonts w:ascii="Times New Roman" w:hAnsi="Times New Roman" w:cs="Times New Roman"/>
                <w:i/>
                <w:sz w:val="20"/>
                <w:szCs w:val="20"/>
              </w:rPr>
              <w:t xml:space="preserve"> </w:t>
            </w:r>
            <w:proofErr w:type="spellStart"/>
            <w:r w:rsidRPr="0029361A">
              <w:rPr>
                <w:rFonts w:ascii="Times New Roman" w:hAnsi="Times New Roman" w:cs="Times New Roman"/>
                <w:i/>
                <w:sz w:val="20"/>
                <w:szCs w:val="20"/>
              </w:rPr>
              <w:t>os</w:t>
            </w:r>
            <w:proofErr w:type="spellEnd"/>
          </w:p>
          <w:p w14:paraId="18A25FB8" w14:textId="77777777" w:rsidR="00F4078D" w:rsidRPr="0029361A" w:rsidRDefault="00DE3225">
            <w:pPr>
              <w:numPr>
                <w:ilvl w:val="0"/>
                <w:numId w:val="1"/>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GCs</w:t>
            </w:r>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intravenously</w:t>
            </w:r>
            <w:proofErr w:type="spellEnd"/>
          </w:p>
          <w:p w14:paraId="283EC81F" w14:textId="77777777" w:rsidR="00F4078D" w:rsidRPr="0029361A" w:rsidRDefault="00DE3225">
            <w:pPr>
              <w:numPr>
                <w:ilvl w:val="0"/>
                <w:numId w:val="1"/>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GCs</w:t>
            </w:r>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intra-articular</w:t>
            </w:r>
            <w:proofErr w:type="spellEnd"/>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introduction</w:t>
            </w:r>
            <w:proofErr w:type="spellEnd"/>
          </w:p>
          <w:p w14:paraId="0B902289" w14:textId="77777777" w:rsidR="00F4078D" w:rsidRPr="0029361A" w:rsidRDefault="00DE3225">
            <w:pPr>
              <w:numPr>
                <w:ilvl w:val="0"/>
                <w:numId w:val="1"/>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methotrexat</w:t>
            </w:r>
            <w:proofErr w:type="spellEnd"/>
            <w:r w:rsidR="0029361A">
              <w:rPr>
                <w:rFonts w:ascii="Times New Roman" w:hAnsi="Times New Roman" w:cs="Times New Roman"/>
                <w:sz w:val="20"/>
                <w:szCs w:val="20"/>
                <w:lang w:val="en-US"/>
              </w:rPr>
              <w:t>e</w:t>
            </w:r>
          </w:p>
          <w:p w14:paraId="33898A02" w14:textId="77777777" w:rsidR="00F4078D" w:rsidRPr="0029361A" w:rsidRDefault="00DE3225">
            <w:pPr>
              <w:numPr>
                <w:ilvl w:val="0"/>
                <w:numId w:val="1"/>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cyclosporine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036F5"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57C932BD"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20 (38)</w:t>
            </w:r>
          </w:p>
          <w:p w14:paraId="5CAC5F6A"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36 (68)</w:t>
            </w:r>
          </w:p>
          <w:p w14:paraId="5BD54EC8"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10 (19)</w:t>
            </w:r>
          </w:p>
          <w:p w14:paraId="213C305D"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34 (64)</w:t>
            </w:r>
          </w:p>
          <w:p w14:paraId="1D18343B"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25 (47)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88A1C"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2AF7235F"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10 (40)</w:t>
            </w:r>
          </w:p>
          <w:p w14:paraId="6614CD20"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15 (60)</w:t>
            </w:r>
          </w:p>
          <w:p w14:paraId="470E27C1"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6 (24)</w:t>
            </w:r>
          </w:p>
          <w:p w14:paraId="0517FCDF"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15 (60)</w:t>
            </w:r>
          </w:p>
          <w:p w14:paraId="044C9DC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8 (32)</w:t>
            </w:r>
          </w:p>
        </w:tc>
      </w:tr>
      <w:tr w:rsidR="00F4078D" w:rsidRPr="0029361A" w14:paraId="6F239C9F" w14:textId="77777777">
        <w:trPr>
          <w:trHeight w:val="133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5609B" w14:textId="77777777" w:rsidR="00F4078D" w:rsidRPr="0029361A" w:rsidRDefault="00DE3225">
            <w:pPr>
              <w:suppressAutoHyphens/>
              <w:spacing w:after="0" w:line="240" w:lineRule="auto"/>
              <w:jc w:val="both"/>
              <w:rPr>
                <w:rFonts w:ascii="Times New Roman" w:eastAsia="Times New Roman" w:hAnsi="Times New Roman" w:cs="Times New Roman"/>
                <w:sz w:val="20"/>
                <w:szCs w:val="20"/>
              </w:rPr>
            </w:pPr>
            <w:r w:rsidRPr="0029361A">
              <w:rPr>
                <w:rFonts w:ascii="Times New Roman" w:hAnsi="Times New Roman" w:cs="Times New Roman"/>
                <w:sz w:val="20"/>
                <w:szCs w:val="20"/>
                <w:lang w:val="en-US"/>
              </w:rPr>
              <w:t>Therapy at vaccination</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abs</w:t>
            </w:r>
            <w:r w:rsidRPr="0029361A">
              <w:rPr>
                <w:rFonts w:ascii="Times New Roman" w:hAnsi="Times New Roman" w:cs="Times New Roman"/>
                <w:sz w:val="20"/>
                <w:szCs w:val="20"/>
              </w:rPr>
              <w:t>. (%)</w:t>
            </w:r>
          </w:p>
          <w:p w14:paraId="0137F593" w14:textId="77777777" w:rsidR="00F4078D" w:rsidRPr="0029361A" w:rsidRDefault="00DE3225">
            <w:pPr>
              <w:numPr>
                <w:ilvl w:val="0"/>
                <w:numId w:val="2"/>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methotrexat</w:t>
            </w:r>
            <w:proofErr w:type="spellEnd"/>
            <w:r w:rsidR="0029361A">
              <w:rPr>
                <w:rFonts w:ascii="Times New Roman" w:hAnsi="Times New Roman" w:cs="Times New Roman"/>
                <w:sz w:val="20"/>
                <w:szCs w:val="20"/>
                <w:lang w:val="en-US"/>
              </w:rPr>
              <w:t>e</w:t>
            </w:r>
          </w:p>
          <w:p w14:paraId="5AD4C505" w14:textId="77777777" w:rsidR="00F4078D" w:rsidRPr="0029361A" w:rsidRDefault="00DE3225">
            <w:pPr>
              <w:numPr>
                <w:ilvl w:val="0"/>
                <w:numId w:val="2"/>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cyclosporine</w:t>
            </w:r>
            <w:proofErr w:type="spellEnd"/>
          </w:p>
          <w:p w14:paraId="2F9728A3" w14:textId="77777777" w:rsidR="00F4078D" w:rsidRPr="0029361A" w:rsidRDefault="00DE3225">
            <w:pPr>
              <w:numPr>
                <w:ilvl w:val="0"/>
                <w:numId w:val="2"/>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GCs</w:t>
            </w:r>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per</w:t>
            </w:r>
            <w:proofErr w:type="spellEnd"/>
            <w:r w:rsidRPr="0029361A">
              <w:rPr>
                <w:rFonts w:ascii="Times New Roman" w:hAnsi="Times New Roman" w:cs="Times New Roman"/>
                <w:sz w:val="20"/>
                <w:szCs w:val="20"/>
              </w:rPr>
              <w:t xml:space="preserve"> </w:t>
            </w:r>
            <w:proofErr w:type="spellStart"/>
            <w:r w:rsidRPr="0029361A">
              <w:rPr>
                <w:rFonts w:ascii="Times New Roman" w:hAnsi="Times New Roman" w:cs="Times New Roman"/>
                <w:sz w:val="20"/>
                <w:szCs w:val="20"/>
              </w:rPr>
              <w:t>os</w:t>
            </w:r>
            <w:proofErr w:type="spellEnd"/>
          </w:p>
          <w:p w14:paraId="54FEAFA8" w14:textId="77777777" w:rsidR="00F4078D" w:rsidRPr="0029361A" w:rsidRDefault="00DE3225">
            <w:pPr>
              <w:numPr>
                <w:ilvl w:val="0"/>
                <w:numId w:val="3"/>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t</w:t>
            </w:r>
            <w:proofErr w:type="spellStart"/>
            <w:r w:rsidRPr="0029361A">
              <w:rPr>
                <w:rFonts w:ascii="Times New Roman" w:hAnsi="Times New Roman" w:cs="Times New Roman"/>
                <w:sz w:val="20"/>
                <w:szCs w:val="20"/>
              </w:rPr>
              <w:t>ocilizumab</w:t>
            </w:r>
            <w:proofErr w:type="spellEnd"/>
            <w:r w:rsidRPr="0029361A">
              <w:rPr>
                <w:rFonts w:ascii="Times New Roman" w:hAnsi="Times New Roman" w:cs="Times New Roman"/>
                <w:sz w:val="20"/>
                <w:szCs w:val="20"/>
              </w:rPr>
              <w:t xml:space="preserve"> </w:t>
            </w:r>
          </w:p>
          <w:p w14:paraId="49A5B3F2" w14:textId="77777777" w:rsidR="00F4078D" w:rsidRPr="0029361A" w:rsidRDefault="00DE3225">
            <w:pPr>
              <w:numPr>
                <w:ilvl w:val="0"/>
                <w:numId w:val="3"/>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c</w:t>
            </w:r>
            <w:proofErr w:type="spellStart"/>
            <w:r w:rsidRPr="0029361A">
              <w:rPr>
                <w:rFonts w:ascii="Times New Roman" w:hAnsi="Times New Roman" w:cs="Times New Roman"/>
                <w:sz w:val="20"/>
                <w:szCs w:val="20"/>
              </w:rPr>
              <w:t>anakinumab</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524AD"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7B8CF1E9"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15 (28)</w:t>
            </w:r>
          </w:p>
          <w:p w14:paraId="69297B97"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6 (11)</w:t>
            </w:r>
          </w:p>
          <w:p w14:paraId="77774B1C"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7 (13)</w:t>
            </w:r>
          </w:p>
          <w:p w14:paraId="368969A8"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43 (81)</w:t>
            </w:r>
          </w:p>
          <w:p w14:paraId="50A72EDE" w14:textId="77777777" w:rsidR="00F4078D" w:rsidRPr="0029361A" w:rsidRDefault="00DE3225">
            <w:pPr>
              <w:suppressAutoHyphens/>
              <w:spacing w:after="0" w:line="240" w:lineRule="auto"/>
              <w:jc w:val="center"/>
              <w:rPr>
                <w:rFonts w:ascii="Times New Roman" w:hAnsi="Times New Roman" w:cs="Times New Roman"/>
              </w:rPr>
            </w:pPr>
            <w:r w:rsidRPr="0029361A">
              <w:rPr>
                <w:rFonts w:ascii="Times New Roman" w:hAnsi="Times New Roman" w:cs="Times New Roman"/>
                <w:sz w:val="20"/>
                <w:szCs w:val="20"/>
              </w:rPr>
              <w:t>10 (19)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DD683"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65DB2D97"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8 (32)</w:t>
            </w:r>
          </w:p>
          <w:p w14:paraId="2470D711"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6 (24)</w:t>
            </w:r>
          </w:p>
          <w:p w14:paraId="17F77F85"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8 (32)</w:t>
            </w:r>
          </w:p>
          <w:p w14:paraId="0CE3CAB7"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18 (72)</w:t>
            </w:r>
          </w:p>
          <w:p w14:paraId="19E48734" w14:textId="77777777" w:rsidR="00F4078D" w:rsidRPr="0029361A" w:rsidRDefault="00DE3225">
            <w:pPr>
              <w:suppressAutoHyphens/>
              <w:spacing w:after="0" w:line="240" w:lineRule="auto"/>
              <w:jc w:val="center"/>
              <w:rPr>
                <w:rFonts w:ascii="Times New Roman" w:hAnsi="Times New Roman" w:cs="Times New Roman"/>
              </w:rPr>
            </w:pPr>
            <w:r w:rsidRPr="0029361A">
              <w:rPr>
                <w:rFonts w:ascii="Times New Roman" w:hAnsi="Times New Roman" w:cs="Times New Roman"/>
                <w:sz w:val="20"/>
                <w:szCs w:val="20"/>
              </w:rPr>
              <w:t>7 (28)</w:t>
            </w:r>
          </w:p>
        </w:tc>
      </w:tr>
      <w:tr w:rsidR="00F4078D" w:rsidRPr="0029361A" w14:paraId="4E71F4F8" w14:textId="77777777">
        <w:trPr>
          <w:trHeight w:val="1552"/>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3C6B95" w14:textId="77777777" w:rsidR="00F4078D" w:rsidRPr="0029361A" w:rsidRDefault="00DE3225">
            <w:pPr>
              <w:suppressAutoHyphens/>
              <w:spacing w:after="0" w:line="240" w:lineRule="auto"/>
              <w:jc w:val="both"/>
              <w:rPr>
                <w:rFonts w:ascii="Times New Roman" w:eastAsia="Times New Roman" w:hAnsi="Times New Roman" w:cs="Times New Roman"/>
                <w:sz w:val="20"/>
                <w:szCs w:val="20"/>
              </w:rPr>
            </w:pPr>
            <w:r w:rsidRPr="0029361A">
              <w:rPr>
                <w:rFonts w:ascii="Times New Roman" w:hAnsi="Times New Roman" w:cs="Times New Roman"/>
                <w:sz w:val="20"/>
                <w:szCs w:val="20"/>
                <w:lang w:val="en-US"/>
              </w:rPr>
              <w:t>Lab test values at vaccination</w:t>
            </w:r>
          </w:p>
          <w:p w14:paraId="5CF81BA7"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rPr>
            </w:pPr>
            <w:r w:rsidRPr="0029361A">
              <w:rPr>
                <w:rFonts w:ascii="Times New Roman" w:hAnsi="Times New Roman" w:cs="Times New Roman"/>
                <w:sz w:val="20"/>
                <w:szCs w:val="20"/>
              </w:rPr>
              <w:t xml:space="preserve">ESR, </w:t>
            </w:r>
            <w:r w:rsidRPr="0029361A">
              <w:rPr>
                <w:rFonts w:ascii="Times New Roman" w:hAnsi="Times New Roman" w:cs="Times New Roman"/>
                <w:sz w:val="20"/>
                <w:szCs w:val="20"/>
                <w:lang w:val="en-US"/>
              </w:rPr>
              <w:t>mm</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h</w:t>
            </w:r>
          </w:p>
          <w:p w14:paraId="3549BE6B"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leucocytes</w:t>
            </w:r>
            <w:proofErr w:type="spellEnd"/>
            <w:r w:rsidRPr="0029361A">
              <w:rPr>
                <w:rFonts w:ascii="Times New Roman" w:hAnsi="Times New Roman" w:cs="Times New Roman"/>
                <w:sz w:val="20"/>
                <w:szCs w:val="20"/>
              </w:rPr>
              <w:t>, × 10</w:t>
            </w:r>
            <w:r w:rsidRPr="0029361A">
              <w:rPr>
                <w:rFonts w:ascii="Times New Roman" w:hAnsi="Times New Roman" w:cs="Times New Roman"/>
                <w:sz w:val="20"/>
                <w:szCs w:val="20"/>
                <w:vertAlign w:val="superscript"/>
              </w:rPr>
              <w:t>9</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l</w:t>
            </w:r>
          </w:p>
          <w:p w14:paraId="691AE629"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thrombocytes</w:t>
            </w:r>
            <w:proofErr w:type="spellEnd"/>
            <w:r w:rsidRPr="0029361A">
              <w:rPr>
                <w:rFonts w:ascii="Times New Roman" w:hAnsi="Times New Roman" w:cs="Times New Roman"/>
                <w:sz w:val="20"/>
                <w:szCs w:val="20"/>
              </w:rPr>
              <w:t>, × 10</w:t>
            </w:r>
            <w:r w:rsidRPr="0029361A">
              <w:rPr>
                <w:rFonts w:ascii="Times New Roman" w:hAnsi="Times New Roman" w:cs="Times New Roman"/>
                <w:sz w:val="20"/>
                <w:szCs w:val="20"/>
                <w:vertAlign w:val="superscript"/>
              </w:rPr>
              <w:t>9</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l</w:t>
            </w:r>
          </w:p>
          <w:p w14:paraId="47FCA430"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ferritin</w:t>
            </w:r>
            <w:proofErr w:type="spellEnd"/>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ng</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ml</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w:t>
            </w:r>
            <w:r w:rsidRPr="0029361A">
              <w:rPr>
                <w:rFonts w:ascii="Times New Roman" w:hAnsi="Times New Roman" w:cs="Times New Roman"/>
                <w:i/>
                <w:iCs/>
                <w:sz w:val="20"/>
                <w:szCs w:val="20"/>
                <w:lang w:val="en-US"/>
              </w:rPr>
              <w:t>n</w:t>
            </w:r>
            <w:r w:rsidRPr="0029361A">
              <w:rPr>
                <w:rFonts w:ascii="Times New Roman" w:hAnsi="Times New Roman" w:cs="Times New Roman"/>
                <w:sz w:val="20"/>
                <w:szCs w:val="20"/>
              </w:rPr>
              <w:t> </w:t>
            </w:r>
            <w:r w:rsidRPr="0029361A">
              <w:rPr>
                <w:rFonts w:ascii="Times New Roman" w:hAnsi="Times New Roman" w:cs="Times New Roman"/>
                <w:sz w:val="20"/>
                <w:szCs w:val="20"/>
                <w:lang w:val="en-US"/>
              </w:rPr>
              <w:t>=</w:t>
            </w:r>
            <w:r w:rsidRPr="0029361A">
              <w:rPr>
                <w:rFonts w:ascii="Times New Roman" w:hAnsi="Times New Roman" w:cs="Times New Roman"/>
                <w:sz w:val="20"/>
                <w:szCs w:val="20"/>
              </w:rPr>
              <w:t> </w:t>
            </w:r>
            <w:r w:rsidRPr="0029361A">
              <w:rPr>
                <w:rFonts w:ascii="Times New Roman" w:hAnsi="Times New Roman" w:cs="Times New Roman"/>
                <w:sz w:val="20"/>
                <w:szCs w:val="20"/>
                <w:lang w:val="en-US"/>
              </w:rPr>
              <w:t>29/17)</w:t>
            </w:r>
          </w:p>
          <w:p w14:paraId="4233917D"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CRP</w:t>
            </w:r>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mg</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l</w:t>
            </w:r>
            <w:r w:rsidRPr="0029361A">
              <w:rPr>
                <w:rFonts w:ascii="Times New Roman" w:hAnsi="Times New Roman" w:cs="Times New Roman"/>
                <w:sz w:val="20"/>
                <w:szCs w:val="20"/>
              </w:rPr>
              <w:t xml:space="preserve"> (</w:t>
            </w:r>
            <w:r w:rsidRPr="0029361A">
              <w:rPr>
                <w:rFonts w:ascii="Times New Roman" w:hAnsi="Times New Roman" w:cs="Times New Roman"/>
                <w:i/>
                <w:iCs/>
                <w:sz w:val="20"/>
                <w:szCs w:val="20"/>
                <w:lang w:val="en-US"/>
              </w:rPr>
              <w:t>n</w:t>
            </w:r>
            <w:r w:rsidRPr="0029361A">
              <w:rPr>
                <w:rFonts w:ascii="Times New Roman" w:hAnsi="Times New Roman" w:cs="Times New Roman"/>
                <w:sz w:val="20"/>
                <w:szCs w:val="20"/>
              </w:rPr>
              <w:t> </w:t>
            </w:r>
            <w:r w:rsidRPr="0029361A">
              <w:rPr>
                <w:rFonts w:ascii="Times New Roman" w:hAnsi="Times New Roman" w:cs="Times New Roman"/>
                <w:sz w:val="20"/>
                <w:szCs w:val="20"/>
                <w:lang w:val="en-US"/>
              </w:rPr>
              <w:t>=</w:t>
            </w:r>
            <w:r w:rsidRPr="0029361A">
              <w:rPr>
                <w:rFonts w:ascii="Times New Roman" w:hAnsi="Times New Roman" w:cs="Times New Roman"/>
                <w:sz w:val="20"/>
                <w:szCs w:val="20"/>
              </w:rPr>
              <w:t> </w:t>
            </w:r>
            <w:r w:rsidRPr="0029361A">
              <w:rPr>
                <w:rFonts w:ascii="Times New Roman" w:hAnsi="Times New Roman" w:cs="Times New Roman"/>
                <w:sz w:val="20"/>
                <w:szCs w:val="20"/>
                <w:lang w:val="en-US"/>
              </w:rPr>
              <w:t>9/16</w:t>
            </w:r>
            <w:r w:rsidRPr="0029361A">
              <w:rPr>
                <w:rFonts w:ascii="Times New Roman" w:hAnsi="Times New Roman" w:cs="Times New Roman"/>
                <w:sz w:val="20"/>
                <w:szCs w:val="20"/>
              </w:rPr>
              <w:t>)****</w:t>
            </w:r>
          </w:p>
          <w:p w14:paraId="4F615043" w14:textId="77777777" w:rsidR="00F4078D" w:rsidRPr="0029361A" w:rsidRDefault="00DE3225">
            <w:pPr>
              <w:numPr>
                <w:ilvl w:val="0"/>
                <w:numId w:val="4"/>
              </w:numPr>
              <w:suppressAutoHyphens/>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h</w:t>
            </w:r>
            <w:proofErr w:type="spellStart"/>
            <w:r w:rsidRPr="0029361A">
              <w:rPr>
                <w:rFonts w:ascii="Times New Roman" w:hAnsi="Times New Roman" w:cs="Times New Roman"/>
                <w:sz w:val="20"/>
                <w:szCs w:val="20"/>
              </w:rPr>
              <w:t>emoglobin</w:t>
            </w:r>
            <w:proofErr w:type="spellEnd"/>
            <w:r w:rsidRPr="0029361A">
              <w:rPr>
                <w:rFonts w:ascii="Times New Roman" w:hAnsi="Times New Roman" w:cs="Times New Roman"/>
                <w:sz w:val="20"/>
                <w:szCs w:val="20"/>
              </w:rPr>
              <w:t xml:space="preserve">, </w:t>
            </w:r>
            <w:r w:rsidRPr="0029361A">
              <w:rPr>
                <w:rFonts w:ascii="Times New Roman" w:hAnsi="Times New Roman" w:cs="Times New Roman"/>
                <w:sz w:val="20"/>
                <w:szCs w:val="20"/>
                <w:lang w:val="en-US"/>
              </w:rPr>
              <w:t>g</w:t>
            </w:r>
            <w:r w:rsidRPr="0029361A">
              <w:rPr>
                <w:rFonts w:ascii="Times New Roman" w:hAnsi="Times New Roman" w:cs="Times New Roman"/>
                <w:sz w:val="20"/>
                <w:szCs w:val="20"/>
              </w:rPr>
              <w:t>/</w:t>
            </w:r>
            <w:r w:rsidRPr="0029361A">
              <w:rPr>
                <w:rFonts w:ascii="Times New Roman" w:hAnsi="Times New Roman" w:cs="Times New Roman"/>
                <w:sz w:val="20"/>
                <w:szCs w:val="20"/>
                <w:lang w:val="en-US"/>
              </w:rPr>
              <w:t>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50EABC"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324A2AAE"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2 (2; 4)</w:t>
            </w:r>
          </w:p>
          <w:p w14:paraId="62541CC4"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6,</w:t>
            </w:r>
            <w:r w:rsidRPr="0029361A">
              <w:rPr>
                <w:rFonts w:ascii="Times New Roman" w:hAnsi="Times New Roman" w:cs="Times New Roman"/>
                <w:sz w:val="20"/>
                <w:szCs w:val="20"/>
                <w:lang w:val="en-US"/>
              </w:rPr>
              <w:t xml:space="preserve">8 </w:t>
            </w:r>
            <w:r w:rsidRPr="0029361A">
              <w:rPr>
                <w:rFonts w:ascii="Times New Roman" w:hAnsi="Times New Roman" w:cs="Times New Roman"/>
                <w:sz w:val="20"/>
                <w:szCs w:val="20"/>
              </w:rPr>
              <w:t>(5,</w:t>
            </w:r>
            <w:r w:rsidRPr="0029361A">
              <w:rPr>
                <w:rFonts w:ascii="Times New Roman" w:hAnsi="Times New Roman" w:cs="Times New Roman"/>
                <w:sz w:val="20"/>
                <w:szCs w:val="20"/>
                <w:lang w:val="en-US"/>
              </w:rPr>
              <w:t>7</w:t>
            </w:r>
            <w:r w:rsidRPr="0029361A">
              <w:rPr>
                <w:rFonts w:ascii="Times New Roman" w:hAnsi="Times New Roman" w:cs="Times New Roman"/>
                <w:sz w:val="20"/>
                <w:szCs w:val="20"/>
              </w:rPr>
              <w:t>; 8,2)</w:t>
            </w:r>
          </w:p>
          <w:p w14:paraId="4FE076F3"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285 (236; 323)</w:t>
            </w:r>
          </w:p>
          <w:p w14:paraId="714029C2"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18 (12; 27)</w:t>
            </w:r>
          </w:p>
          <w:p w14:paraId="458EDD61"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w:t>
            </w:r>
            <w:r w:rsidRPr="0029361A">
              <w:rPr>
                <w:rFonts w:ascii="Times New Roman" w:hAnsi="Times New Roman" w:cs="Times New Roman"/>
                <w:sz w:val="20"/>
                <w:szCs w:val="20"/>
                <w:lang w:val="en-US"/>
              </w:rPr>
              <w:t>2</w:t>
            </w:r>
            <w:r w:rsidRPr="0029361A">
              <w:rPr>
                <w:rFonts w:ascii="Times New Roman" w:hAnsi="Times New Roman" w:cs="Times New Roman"/>
                <w:sz w:val="20"/>
                <w:szCs w:val="20"/>
              </w:rPr>
              <w:t xml:space="preserve"> (2,</w:t>
            </w:r>
            <w:r w:rsidRPr="0029361A">
              <w:rPr>
                <w:rFonts w:ascii="Times New Roman" w:hAnsi="Times New Roman" w:cs="Times New Roman"/>
                <w:sz w:val="20"/>
                <w:szCs w:val="20"/>
                <w:lang w:val="en-US"/>
              </w:rPr>
              <w:t>3</w:t>
            </w:r>
            <w:r w:rsidRPr="0029361A">
              <w:rPr>
                <w:rFonts w:ascii="Times New Roman" w:hAnsi="Times New Roman" w:cs="Times New Roman"/>
                <w:sz w:val="20"/>
                <w:szCs w:val="20"/>
              </w:rPr>
              <w:t>; 6,6)</w:t>
            </w:r>
          </w:p>
          <w:p w14:paraId="14CFAD47" w14:textId="77777777" w:rsidR="00F4078D" w:rsidRPr="0029361A" w:rsidRDefault="00DE3225">
            <w:pPr>
              <w:suppressAutoHyphens/>
              <w:spacing w:after="0" w:line="240" w:lineRule="auto"/>
              <w:jc w:val="center"/>
              <w:rPr>
                <w:rFonts w:ascii="Times New Roman" w:hAnsi="Times New Roman" w:cs="Times New Roman"/>
              </w:rPr>
            </w:pPr>
            <w:r w:rsidRPr="0029361A">
              <w:rPr>
                <w:rFonts w:ascii="Times New Roman" w:hAnsi="Times New Roman" w:cs="Times New Roman"/>
                <w:sz w:val="20"/>
                <w:szCs w:val="20"/>
              </w:rPr>
              <w:t>133 (124; 146)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74ADD" w14:textId="77777777" w:rsidR="00F4078D" w:rsidRPr="0029361A" w:rsidRDefault="00F4078D">
            <w:pPr>
              <w:suppressAutoHyphens/>
              <w:spacing w:after="0" w:line="240" w:lineRule="auto"/>
              <w:jc w:val="center"/>
              <w:rPr>
                <w:rFonts w:ascii="Times New Roman" w:eastAsia="Times New Roman" w:hAnsi="Times New Roman" w:cs="Times New Roman"/>
                <w:sz w:val="20"/>
                <w:szCs w:val="20"/>
              </w:rPr>
            </w:pPr>
          </w:p>
          <w:p w14:paraId="2A400AD4"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5 (2; 23)</w:t>
            </w:r>
          </w:p>
          <w:p w14:paraId="75EC3B4F"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7,3 (6,2; 11,2)</w:t>
            </w:r>
          </w:p>
          <w:p w14:paraId="02AC2CCE"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319 (265; 430)</w:t>
            </w:r>
          </w:p>
          <w:p w14:paraId="223F8BEB"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129 (62; 266)</w:t>
            </w:r>
          </w:p>
          <w:p w14:paraId="7AE768DF" w14:textId="77777777" w:rsidR="00F4078D" w:rsidRPr="0029361A" w:rsidRDefault="00DE3225">
            <w:pPr>
              <w:suppressAutoHyphens/>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7,0 (1,9; 39,2)</w:t>
            </w:r>
          </w:p>
          <w:p w14:paraId="1AAF3431" w14:textId="77777777" w:rsidR="00F4078D" w:rsidRPr="0029361A" w:rsidRDefault="00DE3225">
            <w:pPr>
              <w:suppressAutoHyphens/>
              <w:spacing w:after="0" w:line="240" w:lineRule="auto"/>
              <w:jc w:val="center"/>
              <w:rPr>
                <w:rFonts w:ascii="Times New Roman" w:hAnsi="Times New Roman" w:cs="Times New Roman"/>
              </w:rPr>
            </w:pPr>
            <w:r w:rsidRPr="0029361A">
              <w:rPr>
                <w:rFonts w:ascii="Times New Roman" w:hAnsi="Times New Roman" w:cs="Times New Roman"/>
                <w:sz w:val="20"/>
                <w:szCs w:val="20"/>
              </w:rPr>
              <w:t>117 (110; 136)</w:t>
            </w:r>
          </w:p>
        </w:tc>
      </w:tr>
    </w:tbl>
    <w:p w14:paraId="04CFBEA4" w14:textId="77777777" w:rsidR="00F4078D" w:rsidRPr="00567F27" w:rsidRDefault="00DE3225">
      <w:pPr>
        <w:widowControl w:val="0"/>
        <w:spacing w:after="0" w:line="240" w:lineRule="auto"/>
        <w:jc w:val="both"/>
        <w:rPr>
          <w:rFonts w:ascii="Times New Roman" w:eastAsia="Times New Roman" w:hAnsi="Times New Roman" w:cs="Times New Roman"/>
          <w:sz w:val="20"/>
          <w:szCs w:val="20"/>
          <w:lang w:val="en-US"/>
        </w:rPr>
      </w:pPr>
      <w:r w:rsidRPr="006C5A99">
        <w:rPr>
          <w:rFonts w:ascii="Times New Roman" w:hAnsi="Times New Roman"/>
          <w:bCs/>
          <w:i/>
          <w:iCs/>
          <w:sz w:val="20"/>
          <w:szCs w:val="20"/>
          <w:lang w:val="en-US"/>
        </w:rPr>
        <w:t>Note</w:t>
      </w:r>
      <w:r w:rsidR="0029361A" w:rsidRPr="006C5A99">
        <w:rPr>
          <w:rFonts w:ascii="Times New Roman" w:hAnsi="Times New Roman"/>
          <w:sz w:val="20"/>
          <w:szCs w:val="20"/>
          <w:lang w:val="en-US"/>
        </w:rPr>
        <w:t>.</w:t>
      </w:r>
      <w:r w:rsidR="0029361A">
        <w:rPr>
          <w:rFonts w:ascii="Times New Roman" w:hAnsi="Times New Roman"/>
          <w:sz w:val="20"/>
          <w:szCs w:val="20"/>
          <w:lang w:val="en-US"/>
        </w:rPr>
        <w:t xml:space="preserve"> SJIA</w:t>
      </w:r>
      <w:r>
        <w:rPr>
          <w:rFonts w:ascii="Times New Roman" w:hAnsi="Times New Roman"/>
          <w:sz w:val="20"/>
          <w:szCs w:val="20"/>
          <w:lang w:val="en-US"/>
        </w:rPr>
        <w:t xml:space="preserve"> — systemic juv</w:t>
      </w:r>
      <w:r w:rsidR="0029361A">
        <w:rPr>
          <w:rFonts w:ascii="Times New Roman" w:hAnsi="Times New Roman"/>
          <w:sz w:val="20"/>
          <w:szCs w:val="20"/>
          <w:lang w:val="en-US"/>
        </w:rPr>
        <w:t>enile idiopathic arthritis, GCs</w:t>
      </w:r>
      <w:r>
        <w:rPr>
          <w:rFonts w:ascii="Times New Roman" w:hAnsi="Times New Roman"/>
          <w:sz w:val="20"/>
          <w:szCs w:val="20"/>
          <w:lang w:val="en-US"/>
        </w:rPr>
        <w:t xml:space="preserve"> — </w:t>
      </w:r>
      <w:proofErr w:type="spellStart"/>
      <w:r w:rsidR="001D47E1">
        <w:rPr>
          <w:rFonts w:ascii="Times New Roman" w:hAnsi="Times New Roman"/>
          <w:sz w:val="20"/>
          <w:szCs w:val="20"/>
          <w:lang w:val="en-US"/>
        </w:rPr>
        <w:t>glucocorticosteroids</w:t>
      </w:r>
      <w:proofErr w:type="spellEnd"/>
      <w:r w:rsidR="001D47E1">
        <w:rPr>
          <w:rFonts w:ascii="Times New Roman" w:hAnsi="Times New Roman"/>
          <w:sz w:val="20"/>
          <w:szCs w:val="20"/>
          <w:lang w:val="en-US"/>
        </w:rPr>
        <w:t>,</w:t>
      </w:r>
      <w:r w:rsidR="0029361A">
        <w:rPr>
          <w:rFonts w:ascii="Times New Roman" w:hAnsi="Times New Roman"/>
          <w:sz w:val="20"/>
          <w:szCs w:val="20"/>
          <w:lang w:val="en-US"/>
        </w:rPr>
        <w:t xml:space="preserve"> ESR</w:t>
      </w:r>
      <w:r>
        <w:rPr>
          <w:rFonts w:ascii="Times New Roman" w:hAnsi="Times New Roman"/>
          <w:sz w:val="20"/>
          <w:szCs w:val="20"/>
          <w:lang w:val="en-US"/>
        </w:rPr>
        <w:t xml:space="preserve"> — erythrocyte sedimentation rate, CRP</w:t>
      </w:r>
      <w:r w:rsidR="0029361A">
        <w:rPr>
          <w:rFonts w:ascii="Times New Roman" w:hAnsi="Times New Roman"/>
          <w:sz w:val="20"/>
          <w:szCs w:val="20"/>
          <w:lang w:val="en-US"/>
        </w:rPr>
        <w:t xml:space="preserve"> —</w:t>
      </w:r>
      <w:r>
        <w:rPr>
          <w:rFonts w:ascii="Times New Roman" w:hAnsi="Times New Roman"/>
          <w:sz w:val="20"/>
          <w:szCs w:val="20"/>
          <w:lang w:val="en-US"/>
        </w:rPr>
        <w:t xml:space="preserve"> C-reactive protein. * Chronic adenoiditis, otitis, rhinosinusitis and/or tonsillitis (according to the results of the </w:t>
      </w:r>
      <w:proofErr w:type="gramStart"/>
      <w:r>
        <w:rPr>
          <w:rFonts w:ascii="Times New Roman" w:hAnsi="Times New Roman"/>
          <w:sz w:val="20"/>
          <w:szCs w:val="20"/>
          <w:lang w:val="en-US"/>
        </w:rPr>
        <w:t>parents</w:t>
      </w:r>
      <w:proofErr w:type="gramEnd"/>
      <w:r>
        <w:rPr>
          <w:rFonts w:ascii="Times New Roman" w:hAnsi="Times New Roman"/>
          <w:sz w:val="20"/>
          <w:szCs w:val="20"/>
          <w:lang w:val="en-US"/>
        </w:rPr>
        <w:t xml:space="preserve"> survey and the study of medical documentation). ** </w:t>
      </w:r>
      <w:r>
        <w:rPr>
          <w:rFonts w:ascii="Times New Roman" w:hAnsi="Times New Roman"/>
          <w:i/>
          <w:iCs/>
          <w:sz w:val="20"/>
          <w:szCs w:val="20"/>
          <w:lang w:val="en-US"/>
        </w:rPr>
        <w:t xml:space="preserve">Acinetobacter </w:t>
      </w:r>
      <w:proofErr w:type="spellStart"/>
      <w:r>
        <w:rPr>
          <w:rFonts w:ascii="Times New Roman" w:hAnsi="Times New Roman"/>
          <w:i/>
          <w:iCs/>
          <w:sz w:val="20"/>
          <w:szCs w:val="20"/>
          <w:lang w:val="en-US"/>
        </w:rPr>
        <w:t>junii</w:t>
      </w:r>
      <w:proofErr w:type="spellEnd"/>
      <w:r>
        <w:rPr>
          <w:rFonts w:ascii="Times New Roman" w:hAnsi="Times New Roman"/>
          <w:i/>
          <w:iCs/>
          <w:sz w:val="20"/>
          <w:szCs w:val="20"/>
          <w:lang w:val="en-US"/>
        </w:rPr>
        <w:t xml:space="preserve">, Klebsiella pneumoniae, Staphylococcus (Staphylococcus aureus, Staphylococcus </w:t>
      </w:r>
      <w:proofErr w:type="spellStart"/>
      <w:r>
        <w:rPr>
          <w:rFonts w:ascii="Times New Roman" w:hAnsi="Times New Roman"/>
          <w:i/>
          <w:iCs/>
          <w:sz w:val="20"/>
          <w:szCs w:val="20"/>
          <w:lang w:val="en-US"/>
        </w:rPr>
        <w:t>haemolyticus</w:t>
      </w:r>
      <w:proofErr w:type="spellEnd"/>
      <w:r>
        <w:rPr>
          <w:rFonts w:ascii="Times New Roman" w:hAnsi="Times New Roman"/>
          <w:i/>
          <w:iCs/>
          <w:sz w:val="20"/>
          <w:szCs w:val="20"/>
          <w:lang w:val="en-US"/>
        </w:rPr>
        <w:t>, Staphylococcus spp.), Enterococcus faecium, Streptococcus pyogenes, Candida</w:t>
      </w:r>
      <w:r>
        <w:rPr>
          <w:rFonts w:ascii="Times New Roman" w:hAnsi="Times New Roman"/>
          <w:sz w:val="20"/>
          <w:szCs w:val="20"/>
          <w:lang w:val="en-US"/>
        </w:rPr>
        <w:t>. *** In patients with active SJIA who receiv</w:t>
      </w:r>
      <w:r w:rsidR="0029361A">
        <w:rPr>
          <w:rFonts w:ascii="Times New Roman" w:hAnsi="Times New Roman"/>
          <w:sz w:val="20"/>
          <w:szCs w:val="20"/>
          <w:lang w:val="en-US"/>
        </w:rPr>
        <w:t>ed GEBD for the first time (</w:t>
      </w:r>
      <w:r w:rsidR="0029361A" w:rsidRPr="0029361A">
        <w:rPr>
          <w:rFonts w:ascii="Times New Roman" w:hAnsi="Times New Roman"/>
          <w:i/>
          <w:sz w:val="20"/>
          <w:szCs w:val="20"/>
          <w:lang w:val="en-US"/>
        </w:rPr>
        <w:t>n</w:t>
      </w:r>
      <w:r w:rsidR="0029361A">
        <w:rPr>
          <w:rFonts w:ascii="Times New Roman" w:hAnsi="Times New Roman"/>
          <w:sz w:val="20"/>
          <w:szCs w:val="20"/>
          <w:lang w:val="en-US"/>
        </w:rPr>
        <w:t> = </w:t>
      </w:r>
      <w:r>
        <w:rPr>
          <w:rFonts w:ascii="Times New Roman" w:hAnsi="Times New Roman"/>
          <w:sz w:val="20"/>
          <w:szCs w:val="20"/>
          <w:lang w:val="en-US"/>
        </w:rPr>
        <w:t>8), therapy with tocilizumab or canakinumab</w:t>
      </w:r>
      <w:r w:rsidR="0029361A">
        <w:rPr>
          <w:rFonts w:ascii="Times New Roman" w:hAnsi="Times New Roman"/>
          <w:sz w:val="20"/>
          <w:szCs w:val="20"/>
          <w:lang w:val="en-US"/>
        </w:rPr>
        <w:t xml:space="preserve"> </w:t>
      </w:r>
      <w:r>
        <w:rPr>
          <w:rFonts w:ascii="Times New Roman" w:hAnsi="Times New Roman"/>
          <w:sz w:val="20"/>
          <w:szCs w:val="20"/>
          <w:lang w:val="en-US"/>
        </w:rPr>
        <w:t xml:space="preserve">was started </w:t>
      </w:r>
      <w:r w:rsidR="0029361A">
        <w:rPr>
          <w:rFonts w:ascii="Times New Roman" w:hAnsi="Times New Roman"/>
          <w:sz w:val="20"/>
          <w:szCs w:val="20"/>
          <w:lang w:val="en-US"/>
        </w:rPr>
        <w:t>in 3 weeks after vaccination. **** </w:t>
      </w:r>
      <w:r>
        <w:rPr>
          <w:rFonts w:ascii="Times New Roman" w:hAnsi="Times New Roman"/>
          <w:sz w:val="20"/>
          <w:szCs w:val="20"/>
          <w:lang w:val="en-US"/>
        </w:rPr>
        <w:t>The CRP level was 0.5 mg/l in 4</w:t>
      </w:r>
      <w:r w:rsidR="0029361A">
        <w:rPr>
          <w:rFonts w:ascii="Times New Roman" w:hAnsi="Times New Roman"/>
          <w:sz w:val="20"/>
          <w:szCs w:val="20"/>
          <w:lang w:val="en-US"/>
        </w:rPr>
        <w:t>4 (83%) and 9 (36%) patients; t</w:t>
      </w:r>
      <w:r>
        <w:rPr>
          <w:rFonts w:ascii="Times New Roman" w:hAnsi="Times New Roman"/>
          <w:sz w:val="20"/>
          <w:szCs w:val="20"/>
          <w:lang w:val="en-US"/>
        </w:rPr>
        <w:t>hese data were not taken into account when calculating quantity values.</w:t>
      </w:r>
    </w:p>
    <w:p w14:paraId="30D14650" w14:textId="77777777" w:rsidR="00F4078D" w:rsidRPr="0029361A" w:rsidRDefault="00F4078D">
      <w:pPr>
        <w:pStyle w:val="a5"/>
        <w:jc w:val="both"/>
        <w:rPr>
          <w:rFonts w:eastAsia="Calibri"/>
          <w:sz w:val="24"/>
          <w:szCs w:val="24"/>
          <w:lang w:val="en-US"/>
        </w:rPr>
      </w:pPr>
    </w:p>
    <w:p w14:paraId="67832F65" w14:textId="77777777" w:rsidR="00F4078D" w:rsidRDefault="00DE3225">
      <w:pPr>
        <w:tabs>
          <w:tab w:val="left" w:pos="851"/>
        </w:tabs>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Table 2</w:t>
      </w:r>
      <w:r>
        <w:rPr>
          <w:rFonts w:ascii="Times New Roman" w:hAnsi="Times New Roman"/>
          <w:sz w:val="24"/>
          <w:szCs w:val="24"/>
          <w:lang w:val="en-US"/>
        </w:rPr>
        <w:t>. Dynamics of anti-SPP IgG level in patients with SJIA and at achievement of the minimum protective level and two-fold increase of anti-SPP IgG level 4 weeks after PCV-13 vaccination</w:t>
      </w:r>
    </w:p>
    <w:tbl>
      <w:tblPr>
        <w:tblStyle w:val="TableNormal"/>
        <w:tblW w:w="809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8"/>
        <w:gridCol w:w="2122"/>
        <w:gridCol w:w="2009"/>
      </w:tblGrid>
      <w:tr w:rsidR="00F4078D" w:rsidRPr="0029361A" w14:paraId="3D470D63" w14:textId="77777777">
        <w:trPr>
          <w:trHeight w:val="45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E28B5" w14:textId="77777777" w:rsidR="00F4078D" w:rsidRPr="0029361A" w:rsidRDefault="00DE3225">
            <w:pPr>
              <w:spacing w:after="0" w:line="240" w:lineRule="auto"/>
              <w:jc w:val="both"/>
              <w:rPr>
                <w:rFonts w:ascii="Times New Roman" w:hAnsi="Times New Roman" w:cs="Times New Roman"/>
              </w:rPr>
            </w:pPr>
            <w:proofErr w:type="spellStart"/>
            <w:r w:rsidRPr="0029361A">
              <w:rPr>
                <w:rFonts w:ascii="Times New Roman" w:hAnsi="Times New Roman" w:cs="Times New Roman"/>
                <w:b/>
                <w:bCs/>
                <w:sz w:val="20"/>
                <w:szCs w:val="20"/>
              </w:rPr>
              <w:lastRenderedPageBreak/>
              <w:t>Indicators</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C7AA0"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b/>
                <w:bCs/>
                <w:sz w:val="20"/>
                <w:szCs w:val="20"/>
              </w:rPr>
              <w:t xml:space="preserve">SJIA, </w:t>
            </w:r>
            <w:proofErr w:type="spellStart"/>
            <w:r w:rsidRPr="0029361A">
              <w:rPr>
                <w:rFonts w:ascii="Times New Roman" w:hAnsi="Times New Roman" w:cs="Times New Roman"/>
                <w:b/>
                <w:bCs/>
                <w:sz w:val="20"/>
                <w:szCs w:val="20"/>
              </w:rPr>
              <w:t>remission</w:t>
            </w:r>
            <w:proofErr w:type="spellEnd"/>
            <w:r w:rsidRPr="0029361A">
              <w:rPr>
                <w:rFonts w:ascii="Times New Roman" w:hAnsi="Times New Roman" w:cs="Times New Roman"/>
                <w:b/>
                <w:bCs/>
                <w:sz w:val="20"/>
                <w:szCs w:val="20"/>
              </w:rPr>
              <w:t xml:space="preserve"> (</w:t>
            </w:r>
            <w:r w:rsidRPr="0029361A">
              <w:rPr>
                <w:rFonts w:ascii="Times New Roman" w:hAnsi="Times New Roman" w:cs="Times New Roman"/>
                <w:b/>
                <w:bCs/>
                <w:i/>
                <w:iCs/>
                <w:sz w:val="20"/>
                <w:szCs w:val="20"/>
              </w:rPr>
              <w:t>n</w:t>
            </w:r>
            <w:r w:rsidRPr="0029361A">
              <w:rPr>
                <w:rFonts w:ascii="Times New Roman" w:hAnsi="Times New Roman" w:cs="Times New Roman"/>
                <w:b/>
                <w:bCs/>
                <w:sz w:val="20"/>
                <w:szCs w:val="20"/>
              </w:rPr>
              <w:t> = 53)</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921EB"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b/>
                <w:bCs/>
                <w:sz w:val="20"/>
                <w:szCs w:val="20"/>
              </w:rPr>
              <w:t xml:space="preserve">SJIA, </w:t>
            </w:r>
            <w:proofErr w:type="spellStart"/>
            <w:r w:rsidRPr="0029361A">
              <w:rPr>
                <w:rFonts w:ascii="Times New Roman" w:hAnsi="Times New Roman" w:cs="Times New Roman"/>
                <w:b/>
                <w:bCs/>
                <w:sz w:val="20"/>
                <w:szCs w:val="20"/>
              </w:rPr>
              <w:t>active</w:t>
            </w:r>
            <w:proofErr w:type="spellEnd"/>
            <w:r w:rsidRPr="0029361A">
              <w:rPr>
                <w:rFonts w:ascii="Times New Roman" w:hAnsi="Times New Roman" w:cs="Times New Roman"/>
                <w:b/>
                <w:bCs/>
                <w:sz w:val="20"/>
                <w:szCs w:val="20"/>
              </w:rPr>
              <w:t xml:space="preserve"> (</w:t>
            </w:r>
            <w:r w:rsidRPr="0029361A">
              <w:rPr>
                <w:rFonts w:ascii="Times New Roman" w:hAnsi="Times New Roman" w:cs="Times New Roman"/>
                <w:b/>
                <w:bCs/>
                <w:i/>
                <w:iCs/>
                <w:sz w:val="20"/>
                <w:szCs w:val="20"/>
              </w:rPr>
              <w:t>n</w:t>
            </w:r>
            <w:r w:rsidRPr="0029361A">
              <w:rPr>
                <w:rFonts w:ascii="Times New Roman" w:hAnsi="Times New Roman" w:cs="Times New Roman"/>
                <w:b/>
                <w:bCs/>
                <w:sz w:val="20"/>
                <w:szCs w:val="20"/>
              </w:rPr>
              <w:t> = 25)*</w:t>
            </w:r>
          </w:p>
        </w:tc>
      </w:tr>
      <w:tr w:rsidR="00F4078D" w:rsidRPr="0029361A" w14:paraId="5201135D" w14:textId="77777777">
        <w:trPr>
          <w:trHeight w:val="89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960B6" w14:textId="77777777" w:rsidR="00F4078D" w:rsidRPr="0029361A" w:rsidRDefault="00DE3225">
            <w:pPr>
              <w:spacing w:after="0" w:line="240" w:lineRule="auto"/>
              <w:jc w:val="both"/>
              <w:rPr>
                <w:rFonts w:ascii="Times New Roman" w:eastAsia="Times New Roman" w:hAnsi="Times New Roman" w:cs="Times New Roman"/>
                <w:sz w:val="20"/>
                <w:szCs w:val="20"/>
              </w:rPr>
            </w:pPr>
            <w:r w:rsidRPr="0029361A">
              <w:rPr>
                <w:rFonts w:ascii="Times New Roman" w:hAnsi="Times New Roman" w:cs="Times New Roman"/>
                <w:sz w:val="20"/>
                <w:szCs w:val="20"/>
                <w:lang w:val="en-US"/>
              </w:rPr>
              <w:t>Anti-SPP IgG, U/l</w:t>
            </w:r>
          </w:p>
          <w:p w14:paraId="53600679" w14:textId="77777777" w:rsidR="00F4078D" w:rsidRPr="0029361A" w:rsidRDefault="00DE3225">
            <w:pPr>
              <w:numPr>
                <w:ilvl w:val="0"/>
                <w:numId w:val="5"/>
              </w:numPr>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initially</w:t>
            </w:r>
            <w:proofErr w:type="spellEnd"/>
          </w:p>
          <w:p w14:paraId="25E5406D" w14:textId="77777777" w:rsidR="00F4078D" w:rsidRPr="0029361A" w:rsidRDefault="00DE3225">
            <w:pPr>
              <w:numPr>
                <w:ilvl w:val="0"/>
                <w:numId w:val="5"/>
              </w:numPr>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in</w:t>
            </w:r>
            <w:r w:rsidRPr="0029361A">
              <w:rPr>
                <w:rFonts w:ascii="Times New Roman" w:hAnsi="Times New Roman" w:cs="Times New Roman"/>
                <w:sz w:val="20"/>
                <w:szCs w:val="20"/>
              </w:rPr>
              <w:t xml:space="preserve"> 4 </w:t>
            </w:r>
            <w:r w:rsidRPr="0029361A">
              <w:rPr>
                <w:rFonts w:ascii="Times New Roman" w:hAnsi="Times New Roman" w:cs="Times New Roman"/>
                <w:sz w:val="20"/>
                <w:szCs w:val="20"/>
                <w:lang w:val="en-US"/>
              </w:rPr>
              <w:t>weeks</w:t>
            </w:r>
          </w:p>
          <w:p w14:paraId="66E561B9" w14:textId="77777777" w:rsidR="00F4078D" w:rsidRPr="0029361A" w:rsidRDefault="00DE3225">
            <w:pPr>
              <w:numPr>
                <w:ilvl w:val="0"/>
                <w:numId w:val="5"/>
              </w:numPr>
              <w:spacing w:after="0" w:line="240" w:lineRule="auto"/>
              <w:jc w:val="both"/>
              <w:rPr>
                <w:rFonts w:ascii="Times New Roman" w:hAnsi="Times New Roman" w:cs="Times New Roman"/>
                <w:sz w:val="20"/>
                <w:szCs w:val="20"/>
                <w:lang w:val="en-US"/>
              </w:rPr>
            </w:pPr>
            <w:r w:rsidRPr="0029361A">
              <w:rPr>
                <w:rFonts w:ascii="Times New Roman" w:hAnsi="Times New Roman" w:cs="Times New Roman"/>
                <w:sz w:val="20"/>
                <w:szCs w:val="20"/>
                <w:lang w:val="en-US"/>
              </w:rPr>
              <w:t>ratio</w:t>
            </w:r>
            <w:r w:rsidRPr="0029361A">
              <w:rPr>
                <w:rFonts w:ascii="Times New Roman" w:hAnsi="Times New Roman" w:cs="Times New Roman"/>
                <w:sz w:val="20"/>
                <w:szCs w:val="20"/>
              </w:rPr>
              <w:t xml:space="preserve"> (95% </w:t>
            </w:r>
            <w:r w:rsidRPr="0029361A">
              <w:rPr>
                <w:rFonts w:ascii="Times New Roman" w:hAnsi="Times New Roman" w:cs="Times New Roman"/>
                <w:sz w:val="20"/>
                <w:szCs w:val="20"/>
                <w:lang w:val="en-US"/>
              </w:rPr>
              <w:t>CI</w:t>
            </w:r>
            <w:r w:rsidRPr="0029361A">
              <w:rPr>
                <w:rFonts w:ascii="Times New Roman" w:hAnsi="Times New Roman" w:cs="Times New Roman"/>
                <w:sz w:val="20"/>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2E508" w14:textId="77777777" w:rsidR="00F4078D" w:rsidRPr="0029361A" w:rsidRDefault="00F4078D">
            <w:pPr>
              <w:spacing w:after="0" w:line="240" w:lineRule="auto"/>
              <w:jc w:val="center"/>
              <w:rPr>
                <w:rFonts w:ascii="Times New Roman" w:eastAsia="Times New Roman" w:hAnsi="Times New Roman" w:cs="Times New Roman"/>
                <w:sz w:val="20"/>
                <w:szCs w:val="20"/>
              </w:rPr>
            </w:pPr>
          </w:p>
          <w:p w14:paraId="037909D3"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13,7 (3,5)</w:t>
            </w:r>
          </w:p>
          <w:p w14:paraId="557A93AE"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45,9 (2,8)</w:t>
            </w:r>
          </w:p>
          <w:p w14:paraId="5A80649C"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3,4</w:t>
            </w:r>
            <w:r w:rsidRPr="0029361A">
              <w:rPr>
                <w:rFonts w:ascii="Times New Roman" w:hAnsi="Times New Roman" w:cs="Times New Roman"/>
                <w:sz w:val="20"/>
                <w:szCs w:val="20"/>
                <w:lang w:val="en-US"/>
              </w:rPr>
              <w:t xml:space="preserve"> </w:t>
            </w:r>
            <w:r w:rsidRPr="0029361A">
              <w:rPr>
                <w:rFonts w:ascii="Times New Roman" w:hAnsi="Times New Roman" w:cs="Times New Roman"/>
                <w:sz w:val="20"/>
                <w:szCs w:val="20"/>
              </w:rPr>
              <w:t>(2,6–4,3)</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08BD1" w14:textId="77777777" w:rsidR="00F4078D" w:rsidRPr="0029361A" w:rsidRDefault="00F4078D">
            <w:pPr>
              <w:spacing w:after="0" w:line="240" w:lineRule="auto"/>
              <w:jc w:val="center"/>
              <w:rPr>
                <w:rFonts w:ascii="Times New Roman" w:eastAsia="Times New Roman" w:hAnsi="Times New Roman" w:cs="Times New Roman"/>
                <w:sz w:val="20"/>
                <w:szCs w:val="20"/>
              </w:rPr>
            </w:pPr>
          </w:p>
          <w:p w14:paraId="4C208DEB"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11,2 (3,4)</w:t>
            </w:r>
          </w:p>
          <w:p w14:paraId="17F144AB"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48,9 (3,4)</w:t>
            </w:r>
          </w:p>
          <w:p w14:paraId="1DE414DD"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4,5 (2,9–7,2)</w:t>
            </w:r>
          </w:p>
        </w:tc>
      </w:tr>
      <w:tr w:rsidR="00F4078D" w:rsidRPr="0029361A" w14:paraId="10BD9C18" w14:textId="77777777">
        <w:trPr>
          <w:trHeight w:val="23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0AFA7" w14:textId="77777777" w:rsidR="00F4078D" w:rsidRPr="0029361A" w:rsidRDefault="00DE3225">
            <w:pPr>
              <w:spacing w:after="0" w:line="240" w:lineRule="auto"/>
              <w:jc w:val="right"/>
              <w:rPr>
                <w:rFonts w:ascii="Times New Roman" w:hAnsi="Times New Roman" w:cs="Times New Roman"/>
              </w:rPr>
            </w:pPr>
            <w:r w:rsidRPr="0029361A">
              <w:rPr>
                <w:rFonts w:ascii="Times New Roman" w:hAnsi="Times New Roman" w:cs="Times New Roman"/>
                <w:b/>
                <w:bCs/>
                <w:i/>
                <w:iCs/>
                <w:sz w:val="20"/>
                <w:szCs w:val="20"/>
              </w:rPr>
              <w:t>р</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F5D7A"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&lt; 0,001</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1F9EB"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&lt; 0,001</w:t>
            </w:r>
          </w:p>
        </w:tc>
      </w:tr>
      <w:tr w:rsidR="00F4078D" w:rsidRPr="006C5A99" w14:paraId="5F567337" w14:textId="77777777">
        <w:trPr>
          <w:trHeight w:val="232"/>
        </w:trPr>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9F19A" w14:textId="77777777" w:rsidR="00F4078D" w:rsidRPr="0029361A" w:rsidRDefault="001D47E1">
            <w:pPr>
              <w:spacing w:after="0" w:line="240" w:lineRule="auto"/>
              <w:jc w:val="center"/>
              <w:rPr>
                <w:rFonts w:ascii="Times New Roman" w:hAnsi="Times New Roman" w:cs="Times New Roman"/>
                <w:lang w:val="en-US"/>
              </w:rPr>
            </w:pPr>
            <w:r>
              <w:rPr>
                <w:rFonts w:ascii="Times New Roman" w:hAnsi="Times New Roman" w:cs="Times New Roman"/>
                <w:b/>
                <w:bCs/>
                <w:sz w:val="20"/>
                <w:szCs w:val="20"/>
                <w:lang w:val="en-US"/>
              </w:rPr>
              <w:t>Major indicators of the study</w:t>
            </w:r>
          </w:p>
        </w:tc>
      </w:tr>
      <w:tr w:rsidR="00F4078D" w:rsidRPr="0029361A" w14:paraId="0BFDAD49" w14:textId="77777777">
        <w:trPr>
          <w:trHeight w:val="111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EEFC2" w14:textId="77777777" w:rsidR="00F4078D" w:rsidRPr="0029361A" w:rsidRDefault="00DE3225">
            <w:pPr>
              <w:spacing w:line="240" w:lineRule="auto"/>
              <w:rPr>
                <w:rFonts w:ascii="Times New Roman" w:eastAsia="Times New Roman" w:hAnsi="Times New Roman" w:cs="Times New Roman"/>
              </w:rPr>
            </w:pPr>
            <w:r w:rsidRPr="0029361A">
              <w:rPr>
                <w:rFonts w:ascii="Times New Roman" w:hAnsi="Times New Roman" w:cs="Times New Roman"/>
                <w:lang w:val="en-US"/>
              </w:rPr>
              <w:t>Anti-SPP IgG≥ 7 U/ml, abs. (%)</w:t>
            </w:r>
          </w:p>
          <w:p w14:paraId="109092BD" w14:textId="77777777" w:rsidR="00F4078D" w:rsidRPr="0029361A" w:rsidRDefault="00DE3225">
            <w:pPr>
              <w:numPr>
                <w:ilvl w:val="0"/>
                <w:numId w:val="6"/>
              </w:numPr>
              <w:spacing w:after="0" w:line="240" w:lineRule="auto"/>
              <w:jc w:val="both"/>
              <w:rPr>
                <w:rFonts w:ascii="Times New Roman" w:hAnsi="Times New Roman" w:cs="Times New Roman"/>
                <w:sz w:val="20"/>
                <w:szCs w:val="20"/>
              </w:rPr>
            </w:pPr>
            <w:proofErr w:type="spellStart"/>
            <w:r w:rsidRPr="0029361A">
              <w:rPr>
                <w:rFonts w:ascii="Times New Roman" w:hAnsi="Times New Roman" w:cs="Times New Roman"/>
                <w:sz w:val="20"/>
                <w:szCs w:val="20"/>
              </w:rPr>
              <w:t>initially</w:t>
            </w:r>
            <w:proofErr w:type="spellEnd"/>
          </w:p>
          <w:p w14:paraId="155A050D" w14:textId="77777777" w:rsidR="00F4078D" w:rsidRPr="001D47E1" w:rsidRDefault="00DE3225">
            <w:pPr>
              <w:numPr>
                <w:ilvl w:val="0"/>
                <w:numId w:val="6"/>
              </w:numPr>
              <w:spacing w:after="0" w:line="240" w:lineRule="auto"/>
              <w:jc w:val="both"/>
              <w:rPr>
                <w:rFonts w:ascii="Times New Roman" w:hAnsi="Times New Roman" w:cs="Times New Roman"/>
                <w:bCs/>
                <w:sz w:val="20"/>
                <w:szCs w:val="20"/>
                <w:lang w:val="en-US"/>
              </w:rPr>
            </w:pPr>
            <w:r w:rsidRPr="0029361A">
              <w:rPr>
                <w:rFonts w:ascii="Times New Roman" w:hAnsi="Times New Roman" w:cs="Times New Roman"/>
                <w:sz w:val="20"/>
                <w:szCs w:val="20"/>
                <w:lang w:val="en-US"/>
              </w:rPr>
              <w:t>in</w:t>
            </w:r>
            <w:r w:rsidRPr="0029361A">
              <w:rPr>
                <w:rFonts w:ascii="Times New Roman" w:hAnsi="Times New Roman" w:cs="Times New Roman"/>
                <w:sz w:val="20"/>
                <w:szCs w:val="20"/>
              </w:rPr>
              <w:t xml:space="preserve"> 4 </w:t>
            </w:r>
            <w:r w:rsidRPr="0029361A">
              <w:rPr>
                <w:rFonts w:ascii="Times New Roman" w:hAnsi="Times New Roman" w:cs="Times New Roman"/>
                <w:sz w:val="20"/>
                <w:szCs w:val="20"/>
                <w:lang w:val="en-US"/>
              </w:rPr>
              <w:t>weeks</w:t>
            </w:r>
          </w:p>
          <w:p w14:paraId="39807387" w14:textId="77777777" w:rsidR="00F4078D" w:rsidRPr="0029361A" w:rsidRDefault="00DE3225">
            <w:pPr>
              <w:numPr>
                <w:ilvl w:val="0"/>
                <w:numId w:val="6"/>
              </w:numPr>
              <w:spacing w:after="0" w:line="240" w:lineRule="auto"/>
              <w:jc w:val="both"/>
              <w:rPr>
                <w:rFonts w:ascii="Times New Roman" w:hAnsi="Times New Roman" w:cs="Times New Roman"/>
                <w:b/>
                <w:bCs/>
                <w:sz w:val="20"/>
                <w:szCs w:val="20"/>
                <w:lang w:val="en-US"/>
              </w:rPr>
            </w:pPr>
            <w:r w:rsidRPr="0029361A">
              <w:rPr>
                <w:rFonts w:ascii="Times New Roman" w:hAnsi="Times New Roman" w:cs="Times New Roman"/>
                <w:sz w:val="20"/>
                <w:szCs w:val="20"/>
                <w:lang w:val="en-US"/>
              </w:rPr>
              <w:t>difference</w:t>
            </w:r>
            <w:r w:rsidRPr="0029361A">
              <w:rPr>
                <w:rFonts w:ascii="Times New Roman" w:hAnsi="Times New Roman" w:cs="Times New Roman"/>
                <w:sz w:val="20"/>
                <w:szCs w:val="20"/>
              </w:rPr>
              <w:t xml:space="preserve"> (95% </w:t>
            </w:r>
            <w:r w:rsidRPr="0029361A">
              <w:rPr>
                <w:rFonts w:ascii="Times New Roman" w:hAnsi="Times New Roman" w:cs="Times New Roman"/>
                <w:sz w:val="20"/>
                <w:szCs w:val="20"/>
                <w:lang w:val="en-US"/>
              </w:rPr>
              <w:t>CI</w:t>
            </w:r>
            <w:r w:rsidRPr="0029361A">
              <w:rPr>
                <w:rFonts w:ascii="Times New Roman" w:hAnsi="Times New Roman" w:cs="Times New Roman"/>
                <w:sz w:val="20"/>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CD78A" w14:textId="77777777" w:rsidR="00F4078D" w:rsidRPr="0029361A" w:rsidRDefault="00F4078D">
            <w:pPr>
              <w:spacing w:after="0" w:line="240" w:lineRule="auto"/>
              <w:jc w:val="center"/>
              <w:rPr>
                <w:rFonts w:ascii="Times New Roman" w:eastAsia="Times New Roman" w:hAnsi="Times New Roman" w:cs="Times New Roman"/>
                <w:sz w:val="20"/>
                <w:szCs w:val="20"/>
              </w:rPr>
            </w:pPr>
          </w:p>
          <w:p w14:paraId="26458647"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32 (60)</w:t>
            </w:r>
          </w:p>
          <w:p w14:paraId="543D0DA9"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49 (92)</w:t>
            </w:r>
          </w:p>
          <w:p w14:paraId="4541EB4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32,1 (19,5–44,6)</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AF4CF" w14:textId="77777777" w:rsidR="00F4078D" w:rsidRPr="0029361A" w:rsidRDefault="00F4078D">
            <w:pPr>
              <w:spacing w:after="0" w:line="240" w:lineRule="auto"/>
              <w:jc w:val="center"/>
              <w:rPr>
                <w:rFonts w:ascii="Times New Roman" w:eastAsia="Times New Roman" w:hAnsi="Times New Roman" w:cs="Times New Roman"/>
                <w:sz w:val="20"/>
                <w:szCs w:val="20"/>
              </w:rPr>
            </w:pPr>
          </w:p>
          <w:p w14:paraId="2CBE54A9"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16 (64)</w:t>
            </w:r>
          </w:p>
          <w:p w14:paraId="1CC2985C"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22 (88)</w:t>
            </w:r>
          </w:p>
          <w:p w14:paraId="705BC767"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24,0 (7,3–40,7)</w:t>
            </w:r>
          </w:p>
        </w:tc>
      </w:tr>
      <w:tr w:rsidR="00F4078D" w:rsidRPr="0029361A" w14:paraId="73663406" w14:textId="77777777">
        <w:trPr>
          <w:trHeight w:val="23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D8E88" w14:textId="77777777" w:rsidR="00F4078D" w:rsidRPr="0029361A" w:rsidRDefault="00DE3225">
            <w:pPr>
              <w:spacing w:after="0" w:line="240" w:lineRule="auto"/>
              <w:jc w:val="right"/>
              <w:rPr>
                <w:rFonts w:ascii="Times New Roman" w:hAnsi="Times New Roman" w:cs="Times New Roman"/>
              </w:rPr>
            </w:pPr>
            <w:r w:rsidRPr="0029361A">
              <w:rPr>
                <w:rFonts w:ascii="Times New Roman" w:hAnsi="Times New Roman" w:cs="Times New Roman"/>
                <w:b/>
                <w:bCs/>
                <w:i/>
                <w:iCs/>
                <w:sz w:val="20"/>
                <w:szCs w:val="20"/>
              </w:rPr>
              <w:t>р</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1B60C"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0,001</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1BE81"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0,031</w:t>
            </w:r>
          </w:p>
        </w:tc>
      </w:tr>
      <w:tr w:rsidR="00F4078D" w:rsidRPr="0029361A" w14:paraId="2E74FA83" w14:textId="77777777">
        <w:trPr>
          <w:trHeight w:val="452"/>
        </w:trPr>
        <w:tc>
          <w:tcPr>
            <w:tcW w:w="3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6D03A" w14:textId="77777777" w:rsidR="00F4078D" w:rsidRPr="0029361A" w:rsidRDefault="00DE3225">
            <w:pPr>
              <w:spacing w:after="0" w:line="240" w:lineRule="auto"/>
              <w:jc w:val="both"/>
              <w:rPr>
                <w:rFonts w:ascii="Times New Roman" w:eastAsia="Times New Roman" w:hAnsi="Times New Roman" w:cs="Times New Roman"/>
                <w:sz w:val="20"/>
                <w:szCs w:val="20"/>
              </w:rPr>
            </w:pPr>
            <w:r w:rsidRPr="0029361A">
              <w:rPr>
                <w:rFonts w:ascii="Times New Roman" w:hAnsi="Times New Roman" w:cs="Times New Roman"/>
                <w:sz w:val="20"/>
                <w:szCs w:val="20"/>
                <w:lang w:val="en-US"/>
              </w:rPr>
              <w:t xml:space="preserve">Anti-SPP IgG≥ 2 times (in 4 weeks), abs. </w:t>
            </w:r>
            <w:r w:rsidRPr="0029361A">
              <w:rPr>
                <w:rFonts w:ascii="Times New Roman" w:hAnsi="Times New Roman" w:cs="Times New Roman"/>
                <w:sz w:val="20"/>
                <w:szCs w:val="20"/>
              </w:rPr>
              <w:t>(%)</w:t>
            </w:r>
          </w:p>
          <w:p w14:paraId="5BCF1942" w14:textId="77777777" w:rsidR="00F4078D" w:rsidRPr="0029361A" w:rsidRDefault="00DE3225">
            <w:pPr>
              <w:numPr>
                <w:ilvl w:val="0"/>
                <w:numId w:val="7"/>
              </w:numPr>
              <w:spacing w:after="0" w:line="240" w:lineRule="auto"/>
              <w:jc w:val="both"/>
              <w:rPr>
                <w:rFonts w:ascii="Times New Roman" w:hAnsi="Times New Roman" w:cs="Times New Roman"/>
                <w:b/>
                <w:bCs/>
                <w:sz w:val="20"/>
                <w:szCs w:val="20"/>
              </w:rPr>
            </w:pPr>
            <w:r w:rsidRPr="0029361A">
              <w:rPr>
                <w:rFonts w:ascii="Times New Roman" w:hAnsi="Times New Roman" w:cs="Times New Roman"/>
                <w:sz w:val="20"/>
                <w:szCs w:val="20"/>
              </w:rPr>
              <w:t xml:space="preserve">95% </w:t>
            </w:r>
            <w:r w:rsidRPr="0029361A">
              <w:rPr>
                <w:rFonts w:ascii="Times New Roman" w:hAnsi="Times New Roman" w:cs="Times New Roman"/>
                <w:sz w:val="20"/>
                <w:szCs w:val="20"/>
                <w:lang w:val="en-US"/>
              </w:rPr>
              <w:t>CI</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8F12A"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32 (60)</w:t>
            </w:r>
          </w:p>
          <w:p w14:paraId="79189938"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47–72</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AE5B1" w14:textId="77777777" w:rsidR="00F4078D" w:rsidRPr="0029361A" w:rsidRDefault="00DE3225">
            <w:pPr>
              <w:spacing w:after="0" w:line="240" w:lineRule="auto"/>
              <w:jc w:val="center"/>
              <w:rPr>
                <w:rFonts w:ascii="Times New Roman" w:eastAsia="Times New Roman" w:hAnsi="Times New Roman" w:cs="Times New Roman"/>
                <w:sz w:val="20"/>
                <w:szCs w:val="20"/>
              </w:rPr>
            </w:pPr>
            <w:r w:rsidRPr="0029361A">
              <w:rPr>
                <w:rFonts w:ascii="Times New Roman" w:hAnsi="Times New Roman" w:cs="Times New Roman"/>
                <w:sz w:val="20"/>
                <w:szCs w:val="20"/>
              </w:rPr>
              <w:t>18 (72)</w:t>
            </w:r>
          </w:p>
          <w:p w14:paraId="000A83F5" w14:textId="77777777" w:rsidR="00F4078D" w:rsidRPr="0029361A" w:rsidRDefault="00DE3225">
            <w:pPr>
              <w:spacing w:after="0" w:line="240" w:lineRule="auto"/>
              <w:jc w:val="center"/>
              <w:rPr>
                <w:rFonts w:ascii="Times New Roman" w:hAnsi="Times New Roman" w:cs="Times New Roman"/>
              </w:rPr>
            </w:pPr>
            <w:r w:rsidRPr="0029361A">
              <w:rPr>
                <w:rFonts w:ascii="Times New Roman" w:hAnsi="Times New Roman" w:cs="Times New Roman"/>
                <w:sz w:val="20"/>
                <w:szCs w:val="20"/>
              </w:rPr>
              <w:t>52–86</w:t>
            </w:r>
          </w:p>
        </w:tc>
      </w:tr>
    </w:tbl>
    <w:p w14:paraId="58BB4962" w14:textId="77777777" w:rsidR="00F4078D" w:rsidRPr="0029361A" w:rsidRDefault="00DE3225">
      <w:pPr>
        <w:pStyle w:val="a5"/>
        <w:jc w:val="both"/>
        <w:rPr>
          <w:sz w:val="22"/>
          <w:lang w:val="en-US"/>
        </w:rPr>
      </w:pPr>
      <w:r w:rsidRPr="006C5A99">
        <w:rPr>
          <w:bCs/>
          <w:i/>
          <w:iCs/>
          <w:sz w:val="20"/>
          <w:szCs w:val="20"/>
          <w:lang w:val="en-US"/>
        </w:rPr>
        <w:t>Note</w:t>
      </w:r>
      <w:r w:rsidRPr="006C5A99">
        <w:rPr>
          <w:sz w:val="20"/>
          <w:szCs w:val="20"/>
          <w:lang w:val="en-US"/>
        </w:rPr>
        <w:t>.</w:t>
      </w:r>
      <w:r>
        <w:rPr>
          <w:sz w:val="20"/>
          <w:szCs w:val="20"/>
          <w:lang w:val="en-US"/>
        </w:rPr>
        <w:t xml:space="preserve"> The quantitative indicators were described with mean geometric value and (for anti-SPP IgG concentration) stan</w:t>
      </w:r>
      <w:r w:rsidR="0029361A">
        <w:rPr>
          <w:sz w:val="20"/>
          <w:szCs w:val="20"/>
          <w:lang w:val="en-US"/>
        </w:rPr>
        <w:t>dard deviation (in brackets). * </w:t>
      </w:r>
      <w:r>
        <w:rPr>
          <w:sz w:val="20"/>
          <w:szCs w:val="20"/>
          <w:lang w:val="en-US"/>
        </w:rPr>
        <w:t>In one case the initial anti-SPP IgG concentration was below the sensitivity threshold of the set for enzyme immunoassay (half of the sensitivity threshold value was indicated in the analysis).</w:t>
      </w:r>
    </w:p>
    <w:p w14:paraId="23FB1B41" w14:textId="77777777" w:rsidR="00F4078D" w:rsidRDefault="00F4078D">
      <w:pPr>
        <w:widowControl w:val="0"/>
        <w:spacing w:after="0" w:line="240" w:lineRule="auto"/>
        <w:jc w:val="both"/>
        <w:rPr>
          <w:rFonts w:ascii="Times New Roman" w:eastAsia="Times New Roman" w:hAnsi="Times New Roman" w:cs="Times New Roman"/>
          <w:sz w:val="24"/>
          <w:szCs w:val="24"/>
          <w:lang w:val="en-US"/>
        </w:rPr>
      </w:pPr>
    </w:p>
    <w:p w14:paraId="7351609B" w14:textId="77777777" w:rsidR="00F4078D" w:rsidRPr="00567F27" w:rsidRDefault="00DE3225">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Table</w:t>
      </w:r>
      <w:r w:rsidRPr="00567F27">
        <w:rPr>
          <w:rFonts w:ascii="Times New Roman" w:hAnsi="Times New Roman"/>
          <w:b/>
          <w:bCs/>
          <w:sz w:val="24"/>
          <w:szCs w:val="24"/>
          <w:lang w:val="en-US"/>
        </w:rPr>
        <w:t> 3</w:t>
      </w:r>
      <w:r w:rsidRPr="00567F27">
        <w:rPr>
          <w:rFonts w:ascii="Times New Roman" w:hAnsi="Times New Roman"/>
          <w:sz w:val="24"/>
          <w:szCs w:val="24"/>
          <w:lang w:val="en-US"/>
        </w:rPr>
        <w:t xml:space="preserve">. </w:t>
      </w:r>
      <w:r>
        <w:rPr>
          <w:rFonts w:ascii="Times New Roman" w:hAnsi="Times New Roman"/>
          <w:sz w:val="24"/>
          <w:szCs w:val="24"/>
          <w:lang w:val="en-US"/>
        </w:rPr>
        <w:t>ARI</w:t>
      </w:r>
      <w:r w:rsidRPr="00567F27">
        <w:rPr>
          <w:rFonts w:ascii="Times New Roman" w:hAnsi="Times New Roman"/>
          <w:sz w:val="24"/>
          <w:szCs w:val="24"/>
          <w:lang w:val="en-US"/>
        </w:rPr>
        <w:t xml:space="preserve">, </w:t>
      </w:r>
      <w:r>
        <w:rPr>
          <w:rFonts w:ascii="Times New Roman" w:hAnsi="Times New Roman"/>
          <w:sz w:val="24"/>
          <w:szCs w:val="24"/>
          <w:lang w:val="en-US"/>
        </w:rPr>
        <w:t>complications of ARI</w:t>
      </w:r>
      <w:r w:rsidRPr="00567F27">
        <w:rPr>
          <w:rFonts w:ascii="Times New Roman" w:hAnsi="Times New Roman"/>
          <w:sz w:val="24"/>
          <w:szCs w:val="24"/>
          <w:lang w:val="en-US"/>
        </w:rPr>
        <w:t xml:space="preserve">, antibacterial therapy </w:t>
      </w:r>
      <w:r>
        <w:rPr>
          <w:rFonts w:ascii="Times New Roman" w:hAnsi="Times New Roman"/>
          <w:sz w:val="24"/>
          <w:szCs w:val="24"/>
          <w:lang w:val="en-US"/>
        </w:rPr>
        <w:t>and</w:t>
      </w:r>
      <w:r w:rsidRPr="00567F27">
        <w:rPr>
          <w:rFonts w:ascii="Times New Roman" w:hAnsi="Times New Roman"/>
          <w:sz w:val="24"/>
          <w:szCs w:val="24"/>
          <w:lang w:val="en-US"/>
        </w:rPr>
        <w:t xml:space="preserve"> cessation </w:t>
      </w:r>
      <w:r>
        <w:rPr>
          <w:rFonts w:ascii="Times New Roman" w:hAnsi="Times New Roman"/>
          <w:sz w:val="24"/>
          <w:szCs w:val="24"/>
          <w:lang w:val="en-US"/>
        </w:rPr>
        <w:t>of GEBD</w:t>
      </w:r>
      <w:r w:rsidRPr="00567F27">
        <w:rPr>
          <w:rFonts w:ascii="Times New Roman" w:hAnsi="Times New Roman"/>
          <w:sz w:val="24"/>
          <w:szCs w:val="24"/>
          <w:lang w:val="en-US"/>
        </w:rPr>
        <w:t xml:space="preserve"> </w:t>
      </w:r>
      <w:r>
        <w:rPr>
          <w:rFonts w:ascii="Times New Roman" w:hAnsi="Times New Roman"/>
          <w:sz w:val="24"/>
          <w:szCs w:val="24"/>
          <w:lang w:val="en-US"/>
        </w:rPr>
        <w:t>in</w:t>
      </w:r>
      <w:r w:rsidRPr="00567F27">
        <w:rPr>
          <w:rFonts w:ascii="Times New Roman" w:hAnsi="Times New Roman"/>
          <w:sz w:val="24"/>
          <w:szCs w:val="24"/>
          <w:lang w:val="en-US"/>
        </w:rPr>
        <w:t xml:space="preserve"> </w:t>
      </w:r>
      <w:r>
        <w:rPr>
          <w:rFonts w:ascii="Times New Roman" w:hAnsi="Times New Roman"/>
          <w:sz w:val="24"/>
          <w:szCs w:val="24"/>
          <w:lang w:val="en-US"/>
        </w:rPr>
        <w:t>patients with SJIA</w:t>
      </w:r>
      <w:r w:rsidRPr="00567F27">
        <w:rPr>
          <w:rFonts w:ascii="Times New Roman" w:hAnsi="Times New Roman"/>
          <w:sz w:val="24"/>
          <w:szCs w:val="24"/>
          <w:lang w:val="en-US"/>
        </w:rPr>
        <w:t xml:space="preserve"> </w:t>
      </w:r>
      <w:r>
        <w:rPr>
          <w:rFonts w:ascii="Times New Roman" w:hAnsi="Times New Roman"/>
          <w:sz w:val="24"/>
          <w:szCs w:val="24"/>
          <w:lang w:val="en-US"/>
        </w:rPr>
        <w:t>for 6 months before and after PCV-13 vaccination</w:t>
      </w:r>
    </w:p>
    <w:tbl>
      <w:tblPr>
        <w:tblStyle w:val="TableNormal"/>
        <w:tblW w:w="652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0"/>
        <w:gridCol w:w="1705"/>
        <w:gridCol w:w="1977"/>
      </w:tblGrid>
      <w:tr w:rsidR="00F4078D" w:rsidRPr="001D47E1" w14:paraId="6980009E" w14:textId="77777777">
        <w:trPr>
          <w:trHeight w:val="45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40BE7"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lang w:val="en-US"/>
              </w:rPr>
              <w:t>Indicators</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95E7C"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rPr>
              <w:t xml:space="preserve">SJIA, </w:t>
            </w:r>
            <w:proofErr w:type="spellStart"/>
            <w:r w:rsidRPr="001D47E1">
              <w:rPr>
                <w:rFonts w:ascii="Times New Roman" w:hAnsi="Times New Roman" w:cs="Times New Roman"/>
                <w:b/>
                <w:bCs/>
                <w:sz w:val="20"/>
                <w:szCs w:val="20"/>
              </w:rPr>
              <w:t>remission</w:t>
            </w:r>
            <w:proofErr w:type="spellEnd"/>
            <w:r w:rsidRPr="001D47E1">
              <w:rPr>
                <w:rFonts w:ascii="Times New Roman" w:hAnsi="Times New Roman" w:cs="Times New Roman"/>
                <w:b/>
                <w:bCs/>
                <w:sz w:val="20"/>
                <w:szCs w:val="20"/>
              </w:rPr>
              <w:t xml:space="preserve">  (</w:t>
            </w:r>
            <w:r w:rsidRPr="001D47E1">
              <w:rPr>
                <w:rFonts w:ascii="Times New Roman" w:hAnsi="Times New Roman" w:cs="Times New Roman"/>
                <w:b/>
                <w:bCs/>
                <w:i/>
                <w:iCs/>
                <w:sz w:val="20"/>
                <w:szCs w:val="20"/>
              </w:rPr>
              <w:t>n</w:t>
            </w:r>
            <w:r w:rsidRPr="001D47E1">
              <w:rPr>
                <w:rFonts w:ascii="Times New Roman" w:hAnsi="Times New Roman" w:cs="Times New Roman"/>
                <w:b/>
                <w:bCs/>
                <w:sz w:val="20"/>
                <w:szCs w:val="20"/>
              </w:rPr>
              <w:t> = 53)</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A6C0E"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rPr>
              <w:t xml:space="preserve">SJIA, </w:t>
            </w:r>
            <w:proofErr w:type="spellStart"/>
            <w:r w:rsidRPr="001D47E1">
              <w:rPr>
                <w:rFonts w:ascii="Times New Roman" w:hAnsi="Times New Roman" w:cs="Times New Roman"/>
                <w:b/>
                <w:bCs/>
                <w:sz w:val="20"/>
                <w:szCs w:val="20"/>
              </w:rPr>
              <w:t>active</w:t>
            </w:r>
            <w:proofErr w:type="spellEnd"/>
            <w:r w:rsidRPr="001D47E1">
              <w:rPr>
                <w:rFonts w:ascii="Times New Roman" w:hAnsi="Times New Roman" w:cs="Times New Roman"/>
                <w:b/>
                <w:bCs/>
                <w:sz w:val="20"/>
                <w:szCs w:val="20"/>
              </w:rPr>
              <w:t xml:space="preserve"> (</w:t>
            </w:r>
            <w:r w:rsidRPr="001D47E1">
              <w:rPr>
                <w:rFonts w:ascii="Times New Roman" w:hAnsi="Times New Roman" w:cs="Times New Roman"/>
                <w:b/>
                <w:bCs/>
                <w:i/>
                <w:iCs/>
                <w:sz w:val="20"/>
                <w:szCs w:val="20"/>
              </w:rPr>
              <w:t>n</w:t>
            </w:r>
            <w:r w:rsidRPr="001D47E1">
              <w:rPr>
                <w:rFonts w:ascii="Times New Roman" w:hAnsi="Times New Roman" w:cs="Times New Roman"/>
                <w:b/>
                <w:bCs/>
                <w:sz w:val="20"/>
                <w:szCs w:val="20"/>
              </w:rPr>
              <w:t> = 25)</w:t>
            </w:r>
          </w:p>
        </w:tc>
      </w:tr>
      <w:tr w:rsidR="00F4078D" w:rsidRPr="001D47E1" w14:paraId="3BF5BD87" w14:textId="77777777">
        <w:trPr>
          <w:trHeight w:val="232"/>
        </w:trPr>
        <w:tc>
          <w:tcPr>
            <w:tcW w:w="6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49BB1" w14:textId="77777777" w:rsidR="00F4078D" w:rsidRPr="001D47E1" w:rsidRDefault="00DE3225">
            <w:pPr>
              <w:spacing w:after="0" w:line="240" w:lineRule="auto"/>
              <w:jc w:val="both"/>
              <w:rPr>
                <w:rFonts w:ascii="Times New Roman" w:hAnsi="Times New Roman" w:cs="Times New Roman"/>
              </w:rPr>
            </w:pPr>
            <w:proofErr w:type="spellStart"/>
            <w:r w:rsidRPr="001D47E1">
              <w:rPr>
                <w:rFonts w:ascii="Times New Roman" w:hAnsi="Times New Roman" w:cs="Times New Roman"/>
                <w:b/>
                <w:bCs/>
                <w:i/>
                <w:iCs/>
                <w:sz w:val="20"/>
                <w:szCs w:val="20"/>
              </w:rPr>
              <w:t>Acute</w:t>
            </w:r>
            <w:proofErr w:type="spellEnd"/>
            <w:r w:rsidRPr="001D47E1">
              <w:rPr>
                <w:rFonts w:ascii="Times New Roman" w:hAnsi="Times New Roman" w:cs="Times New Roman"/>
                <w:b/>
                <w:bCs/>
                <w:i/>
                <w:iCs/>
                <w:sz w:val="20"/>
                <w:szCs w:val="20"/>
              </w:rPr>
              <w:t xml:space="preserve"> </w:t>
            </w:r>
            <w:r w:rsidRPr="001D47E1">
              <w:rPr>
                <w:rFonts w:ascii="Times New Roman" w:hAnsi="Times New Roman" w:cs="Times New Roman"/>
                <w:b/>
                <w:bCs/>
                <w:i/>
                <w:iCs/>
                <w:sz w:val="20"/>
                <w:szCs w:val="20"/>
                <w:lang w:val="en-US"/>
              </w:rPr>
              <w:t>r</w:t>
            </w:r>
            <w:proofErr w:type="spellStart"/>
            <w:r w:rsidRPr="001D47E1">
              <w:rPr>
                <w:rFonts w:ascii="Times New Roman" w:hAnsi="Times New Roman" w:cs="Times New Roman"/>
                <w:b/>
                <w:bCs/>
                <w:i/>
                <w:iCs/>
                <w:sz w:val="20"/>
                <w:szCs w:val="20"/>
              </w:rPr>
              <w:t>espiratory</w:t>
            </w:r>
            <w:proofErr w:type="spellEnd"/>
            <w:r w:rsidRPr="001D47E1">
              <w:rPr>
                <w:rFonts w:ascii="Times New Roman" w:hAnsi="Times New Roman" w:cs="Times New Roman"/>
                <w:b/>
                <w:bCs/>
                <w:i/>
                <w:iCs/>
                <w:sz w:val="20"/>
                <w:szCs w:val="20"/>
              </w:rPr>
              <w:t xml:space="preserve"> </w:t>
            </w:r>
            <w:proofErr w:type="spellStart"/>
            <w:r w:rsidRPr="001D47E1">
              <w:rPr>
                <w:rFonts w:ascii="Times New Roman" w:hAnsi="Times New Roman" w:cs="Times New Roman"/>
                <w:b/>
                <w:bCs/>
                <w:i/>
                <w:iCs/>
                <w:sz w:val="20"/>
                <w:szCs w:val="20"/>
                <w:lang w:val="en-US"/>
              </w:rPr>
              <w:t>i</w:t>
            </w:r>
            <w:r w:rsidRPr="001D47E1">
              <w:rPr>
                <w:rFonts w:ascii="Times New Roman" w:hAnsi="Times New Roman" w:cs="Times New Roman"/>
                <w:b/>
                <w:bCs/>
                <w:i/>
                <w:iCs/>
                <w:sz w:val="20"/>
                <w:szCs w:val="20"/>
              </w:rPr>
              <w:t>nfection</w:t>
            </w:r>
            <w:proofErr w:type="spellEnd"/>
            <w:r w:rsidRPr="001D47E1">
              <w:rPr>
                <w:rFonts w:ascii="Times New Roman" w:hAnsi="Times New Roman" w:cs="Times New Roman"/>
                <w:b/>
                <w:bCs/>
                <w:i/>
                <w:iCs/>
                <w:sz w:val="20"/>
                <w:szCs w:val="20"/>
              </w:rPr>
              <w:t xml:space="preserve">, </w:t>
            </w:r>
            <w:r w:rsidRPr="001D47E1">
              <w:rPr>
                <w:rFonts w:ascii="Times New Roman" w:hAnsi="Times New Roman" w:cs="Times New Roman"/>
                <w:b/>
                <w:bCs/>
                <w:i/>
                <w:iCs/>
                <w:sz w:val="20"/>
                <w:szCs w:val="20"/>
                <w:lang w:val="en-US"/>
              </w:rPr>
              <w:t>abs</w:t>
            </w:r>
            <w:r w:rsidRPr="001D47E1">
              <w:rPr>
                <w:rFonts w:ascii="Times New Roman" w:hAnsi="Times New Roman" w:cs="Times New Roman"/>
                <w:b/>
                <w:bCs/>
                <w:i/>
                <w:iCs/>
                <w:sz w:val="20"/>
                <w:szCs w:val="20"/>
              </w:rPr>
              <w:t>. (%)</w:t>
            </w:r>
          </w:p>
        </w:tc>
      </w:tr>
      <w:tr w:rsidR="00F4078D" w:rsidRPr="001D47E1" w14:paraId="3FCD9E24"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4B0FE"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before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6EF0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53 (100)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C5820"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24 (96)</w:t>
            </w:r>
          </w:p>
        </w:tc>
      </w:tr>
      <w:tr w:rsidR="00F4078D" w:rsidRPr="001D47E1" w14:paraId="3F94503F"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88EBD"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after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8C352"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38 (72)</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A18C0"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14 (56)</w:t>
            </w:r>
          </w:p>
        </w:tc>
      </w:tr>
      <w:tr w:rsidR="00F4078D" w:rsidRPr="001D47E1" w14:paraId="147B1FD1"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75A34"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lang w:val="en-US"/>
              </w:rPr>
              <w:t>Difference</w:t>
            </w:r>
            <w:r w:rsidRPr="001D47E1">
              <w:rPr>
                <w:rFonts w:ascii="Times New Roman" w:hAnsi="Times New Roman" w:cs="Times New Roman"/>
                <w:i/>
                <w:iCs/>
                <w:sz w:val="20"/>
                <w:szCs w:val="20"/>
              </w:rPr>
              <w:t xml:space="preserve"> (95% </w:t>
            </w:r>
            <w:r w:rsidRPr="001D47E1">
              <w:rPr>
                <w:rFonts w:ascii="Times New Roman" w:hAnsi="Times New Roman" w:cs="Times New Roman"/>
                <w:i/>
                <w:iCs/>
                <w:sz w:val="20"/>
                <w:szCs w:val="20"/>
                <w:lang w:val="en-US"/>
              </w:rPr>
              <w:t>CI</w:t>
            </w:r>
            <w:r w:rsidRPr="001D47E1">
              <w:rPr>
                <w:rFonts w:ascii="Times New Roman" w:hAnsi="Times New Roman" w:cs="Times New Roman"/>
                <w:i/>
                <w:iCs/>
                <w:sz w:val="20"/>
                <w:szCs w:val="20"/>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C4425"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28,3 (16,2–40,4)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F35AD"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40,0 (20,8–59,2)</w:t>
            </w:r>
          </w:p>
        </w:tc>
      </w:tr>
      <w:tr w:rsidR="00F4078D" w:rsidRPr="001D47E1" w14:paraId="00789A69"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0530A"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rPr>
              <w:t>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E96BA"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92D39"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0,002</w:t>
            </w:r>
          </w:p>
        </w:tc>
      </w:tr>
      <w:tr w:rsidR="00F4078D" w:rsidRPr="001D47E1" w14:paraId="7905BD13" w14:textId="77777777">
        <w:trPr>
          <w:trHeight w:val="232"/>
        </w:trPr>
        <w:tc>
          <w:tcPr>
            <w:tcW w:w="6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85230"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i/>
                <w:iCs/>
                <w:sz w:val="20"/>
                <w:szCs w:val="20"/>
                <w:lang w:val="en-US"/>
              </w:rPr>
              <w:t xml:space="preserve">Complications of acute respiratory infection, abs. </w:t>
            </w:r>
            <w:r w:rsidRPr="001D47E1">
              <w:rPr>
                <w:rFonts w:ascii="Times New Roman" w:hAnsi="Times New Roman" w:cs="Times New Roman"/>
                <w:b/>
                <w:bCs/>
                <w:i/>
                <w:iCs/>
                <w:sz w:val="20"/>
                <w:szCs w:val="20"/>
              </w:rPr>
              <w:t>(%)</w:t>
            </w:r>
          </w:p>
        </w:tc>
      </w:tr>
      <w:tr w:rsidR="00F4078D" w:rsidRPr="001D47E1" w14:paraId="3E05D84F"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36BBC"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before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90E3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25 (47)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27A97"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7 (28)</w:t>
            </w:r>
          </w:p>
        </w:tc>
      </w:tr>
      <w:tr w:rsidR="00F4078D" w:rsidRPr="001D47E1" w14:paraId="3B0E7BAD"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48264B"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after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1CBAF"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10 (19)</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FDA82"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 (8)</w:t>
            </w:r>
          </w:p>
        </w:tc>
      </w:tr>
      <w:tr w:rsidR="00F4078D" w:rsidRPr="001D47E1" w14:paraId="42A88A7D"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B7C82"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lang w:val="en-US"/>
              </w:rPr>
              <w:t>Difference</w:t>
            </w:r>
            <w:r w:rsidRPr="001D47E1">
              <w:rPr>
                <w:rFonts w:ascii="Times New Roman" w:hAnsi="Times New Roman" w:cs="Times New Roman"/>
                <w:i/>
                <w:iCs/>
                <w:sz w:val="20"/>
                <w:szCs w:val="20"/>
              </w:rPr>
              <w:t xml:space="preserve"> (95% </w:t>
            </w:r>
            <w:r w:rsidRPr="001D47E1">
              <w:rPr>
                <w:rFonts w:ascii="Times New Roman" w:hAnsi="Times New Roman" w:cs="Times New Roman"/>
                <w:i/>
                <w:iCs/>
                <w:sz w:val="20"/>
                <w:szCs w:val="20"/>
                <w:lang w:val="en-US"/>
              </w:rPr>
              <w:t>CI</w:t>
            </w:r>
            <w:r w:rsidRPr="001D47E1">
              <w:rPr>
                <w:rFonts w:ascii="Times New Roman" w:hAnsi="Times New Roman" w:cs="Times New Roman"/>
                <w:i/>
                <w:iCs/>
                <w:sz w:val="20"/>
                <w:szCs w:val="20"/>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446D8"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28,3 (13,2–43,4)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AE881E"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20,0 (0,8–39,2)</w:t>
            </w:r>
          </w:p>
        </w:tc>
      </w:tr>
      <w:tr w:rsidR="00F4078D" w:rsidRPr="001D47E1" w14:paraId="48F9E61E"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5C1F7"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rPr>
              <w:t>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EFCE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8A0B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0,125</w:t>
            </w:r>
          </w:p>
        </w:tc>
      </w:tr>
      <w:tr w:rsidR="00F4078D" w:rsidRPr="001D47E1" w14:paraId="6889B254" w14:textId="77777777">
        <w:trPr>
          <w:trHeight w:val="232"/>
        </w:trPr>
        <w:tc>
          <w:tcPr>
            <w:tcW w:w="6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DE6BD"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lang w:val="en-US"/>
              </w:rPr>
              <w:t>Antibacterial therapy</w:t>
            </w:r>
            <w:r w:rsidRPr="001D47E1">
              <w:rPr>
                <w:rFonts w:ascii="Times New Roman" w:hAnsi="Times New Roman" w:cs="Times New Roman"/>
                <w:b/>
                <w:bCs/>
                <w:sz w:val="20"/>
                <w:szCs w:val="20"/>
              </w:rPr>
              <w:t xml:space="preserve">, </w:t>
            </w:r>
            <w:r w:rsidRPr="001D47E1">
              <w:rPr>
                <w:rFonts w:ascii="Times New Roman" w:hAnsi="Times New Roman" w:cs="Times New Roman"/>
                <w:b/>
                <w:bCs/>
                <w:sz w:val="20"/>
                <w:szCs w:val="20"/>
                <w:lang w:val="en-US"/>
              </w:rPr>
              <w:t>abs</w:t>
            </w:r>
            <w:r w:rsidRPr="001D47E1">
              <w:rPr>
                <w:rFonts w:ascii="Times New Roman" w:hAnsi="Times New Roman" w:cs="Times New Roman"/>
                <w:b/>
                <w:bCs/>
                <w:sz w:val="20"/>
                <w:szCs w:val="20"/>
              </w:rPr>
              <w:t>. (%)</w:t>
            </w:r>
          </w:p>
        </w:tc>
      </w:tr>
      <w:tr w:rsidR="00F4078D" w:rsidRPr="001D47E1" w14:paraId="20535DFB"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B4046"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before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D654B"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37 (70)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3BA00"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17 (68)</w:t>
            </w:r>
          </w:p>
        </w:tc>
      </w:tr>
      <w:tr w:rsidR="00F4078D" w:rsidRPr="001D47E1" w14:paraId="58F736F6"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920B4"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after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86DE9"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16 (30)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D594A"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4 (16)</w:t>
            </w:r>
          </w:p>
        </w:tc>
      </w:tr>
      <w:tr w:rsidR="00F4078D" w:rsidRPr="001D47E1" w14:paraId="111BEE0B"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4555C"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lang w:val="en-US"/>
              </w:rPr>
              <w:t>Difference</w:t>
            </w:r>
            <w:r w:rsidRPr="001D47E1">
              <w:rPr>
                <w:rFonts w:ascii="Times New Roman" w:hAnsi="Times New Roman" w:cs="Times New Roman"/>
                <w:i/>
                <w:iCs/>
                <w:sz w:val="20"/>
                <w:szCs w:val="20"/>
              </w:rPr>
              <w:t xml:space="preserve"> (95% </w:t>
            </w:r>
            <w:r w:rsidRPr="001D47E1">
              <w:rPr>
                <w:rFonts w:ascii="Times New Roman" w:hAnsi="Times New Roman" w:cs="Times New Roman"/>
                <w:i/>
                <w:iCs/>
                <w:sz w:val="20"/>
                <w:szCs w:val="20"/>
                <w:lang w:val="en-US"/>
              </w:rPr>
              <w:t>CI</w:t>
            </w:r>
            <w:r w:rsidRPr="001D47E1">
              <w:rPr>
                <w:rFonts w:ascii="Times New Roman" w:hAnsi="Times New Roman" w:cs="Times New Roman"/>
                <w:i/>
                <w:iCs/>
                <w:sz w:val="20"/>
                <w:szCs w:val="20"/>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B63AC"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39,6 (24,5–54,7)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B684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52,0 (26,9–77,1)</w:t>
            </w:r>
          </w:p>
        </w:tc>
      </w:tr>
      <w:tr w:rsidR="00F4078D" w:rsidRPr="001D47E1" w14:paraId="6935DF99"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7E0B4"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rPr>
              <w:t>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448E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CEABB"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0,002</w:t>
            </w:r>
          </w:p>
        </w:tc>
      </w:tr>
      <w:tr w:rsidR="00F4078D" w:rsidRPr="006C5A99" w14:paraId="0B920082" w14:textId="77777777">
        <w:trPr>
          <w:trHeight w:val="232"/>
        </w:trPr>
        <w:tc>
          <w:tcPr>
            <w:tcW w:w="6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CFDE5A" w14:textId="77777777" w:rsidR="00F4078D" w:rsidRPr="001D47E1" w:rsidRDefault="00DE3225">
            <w:pPr>
              <w:spacing w:after="0" w:line="240" w:lineRule="auto"/>
              <w:jc w:val="both"/>
              <w:rPr>
                <w:rFonts w:ascii="Times New Roman" w:hAnsi="Times New Roman" w:cs="Times New Roman"/>
                <w:lang w:val="en-US"/>
              </w:rPr>
            </w:pPr>
            <w:r w:rsidRPr="001D47E1">
              <w:rPr>
                <w:rFonts w:ascii="Times New Roman" w:hAnsi="Times New Roman" w:cs="Times New Roman"/>
                <w:b/>
                <w:bCs/>
                <w:sz w:val="20"/>
                <w:szCs w:val="20"/>
                <w:lang w:val="en-US"/>
              </w:rPr>
              <w:t>Duration of antibacterial therapy, days*</w:t>
            </w:r>
          </w:p>
        </w:tc>
      </w:tr>
      <w:tr w:rsidR="00F4078D" w:rsidRPr="001D47E1" w14:paraId="5C10EFD8"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A3E95"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before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FE5A6"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10 (7; 14)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CD2C"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7 (7; 14)</w:t>
            </w:r>
          </w:p>
        </w:tc>
      </w:tr>
      <w:tr w:rsidR="00F4078D" w:rsidRPr="001D47E1" w14:paraId="609747AE"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E09AA"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lastRenderedPageBreak/>
              <w:t>6 months after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56A37"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 (0; 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8A74F"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 (0; 0)</w:t>
            </w:r>
          </w:p>
        </w:tc>
      </w:tr>
      <w:tr w:rsidR="00F4078D" w:rsidRPr="001D47E1" w14:paraId="2B7B9F94"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5D114"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lang w:val="en-US"/>
              </w:rPr>
              <w:t>Difference</w:t>
            </w:r>
            <w:r w:rsidRPr="001D47E1">
              <w:rPr>
                <w:rFonts w:ascii="Times New Roman" w:hAnsi="Times New Roman" w:cs="Times New Roman"/>
                <w:i/>
                <w:iCs/>
                <w:sz w:val="20"/>
                <w:szCs w:val="20"/>
              </w:rPr>
              <w:t xml:space="preserve"> (95% </w:t>
            </w:r>
            <w:r w:rsidRPr="001D47E1">
              <w:rPr>
                <w:rFonts w:ascii="Times New Roman" w:hAnsi="Times New Roman" w:cs="Times New Roman"/>
                <w:i/>
                <w:iCs/>
                <w:sz w:val="20"/>
                <w:szCs w:val="20"/>
                <w:lang w:val="en-US"/>
              </w:rPr>
              <w:t>CI</w:t>
            </w:r>
            <w:r w:rsidRPr="001D47E1">
              <w:rPr>
                <w:rFonts w:ascii="Times New Roman" w:hAnsi="Times New Roman" w:cs="Times New Roman"/>
                <w:i/>
                <w:iCs/>
                <w:sz w:val="20"/>
                <w:szCs w:val="20"/>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2B13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7 (7–10)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4CF8F"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7 (6–14)</w:t>
            </w:r>
          </w:p>
        </w:tc>
      </w:tr>
      <w:tr w:rsidR="00F4078D" w:rsidRPr="001D47E1" w14:paraId="39E08632"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5C9B5"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rPr>
              <w:t>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7EF89"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D18E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0,004</w:t>
            </w:r>
          </w:p>
        </w:tc>
      </w:tr>
      <w:tr w:rsidR="00F4078D" w:rsidRPr="001D47E1" w14:paraId="233137A0" w14:textId="77777777">
        <w:trPr>
          <w:trHeight w:val="232"/>
        </w:trPr>
        <w:tc>
          <w:tcPr>
            <w:tcW w:w="6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8FBCF"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lang w:val="en-US"/>
              </w:rPr>
              <w:t>Cessation of GEBD</w:t>
            </w:r>
            <w:r w:rsidRPr="001D47E1">
              <w:rPr>
                <w:rFonts w:ascii="Times New Roman" w:hAnsi="Times New Roman" w:cs="Times New Roman"/>
                <w:b/>
                <w:bCs/>
                <w:sz w:val="20"/>
                <w:szCs w:val="20"/>
              </w:rPr>
              <w:t xml:space="preserve">, </w:t>
            </w:r>
            <w:r w:rsidRPr="001D47E1">
              <w:rPr>
                <w:rFonts w:ascii="Times New Roman" w:hAnsi="Times New Roman" w:cs="Times New Roman"/>
                <w:b/>
                <w:bCs/>
                <w:sz w:val="20"/>
                <w:szCs w:val="20"/>
                <w:lang w:val="en-US"/>
              </w:rPr>
              <w:t>abs</w:t>
            </w:r>
            <w:r w:rsidRPr="001D47E1">
              <w:rPr>
                <w:rFonts w:ascii="Times New Roman" w:hAnsi="Times New Roman" w:cs="Times New Roman"/>
                <w:b/>
                <w:bCs/>
                <w:sz w:val="20"/>
                <w:szCs w:val="20"/>
              </w:rPr>
              <w:t>. (</w:t>
            </w:r>
            <w:proofErr w:type="gramStart"/>
            <w:r w:rsidRPr="001D47E1">
              <w:rPr>
                <w:rFonts w:ascii="Times New Roman" w:hAnsi="Times New Roman" w:cs="Times New Roman"/>
                <w:b/>
                <w:bCs/>
                <w:sz w:val="20"/>
                <w:szCs w:val="20"/>
              </w:rPr>
              <w:t>%)*</w:t>
            </w:r>
            <w:proofErr w:type="gramEnd"/>
            <w:r w:rsidRPr="001D47E1">
              <w:rPr>
                <w:rFonts w:ascii="Times New Roman" w:hAnsi="Times New Roman" w:cs="Times New Roman"/>
                <w:b/>
                <w:bCs/>
                <w:sz w:val="20"/>
                <w:szCs w:val="20"/>
              </w:rPr>
              <w:t>*</w:t>
            </w:r>
          </w:p>
        </w:tc>
      </w:tr>
      <w:tr w:rsidR="00F4078D" w:rsidRPr="001D47E1" w14:paraId="33925523"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FBFAE"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before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945C8"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50 (94)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7061C"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w:t>
            </w:r>
            <w:r w:rsidRPr="001D47E1">
              <w:rPr>
                <w:rFonts w:ascii="Times New Roman" w:hAnsi="Times New Roman" w:cs="Times New Roman"/>
                <w:sz w:val="20"/>
                <w:szCs w:val="20"/>
                <w:lang w:val="en-US"/>
              </w:rPr>
              <w:t>3</w:t>
            </w:r>
            <w:r w:rsidRPr="001D47E1">
              <w:rPr>
                <w:rFonts w:ascii="Times New Roman" w:hAnsi="Times New Roman" w:cs="Times New Roman"/>
                <w:sz w:val="20"/>
                <w:szCs w:val="20"/>
              </w:rPr>
              <w:t>/17 (</w:t>
            </w:r>
            <w:r w:rsidRPr="001D47E1">
              <w:rPr>
                <w:rFonts w:ascii="Times New Roman" w:hAnsi="Times New Roman" w:cs="Times New Roman"/>
                <w:sz w:val="20"/>
                <w:szCs w:val="20"/>
                <w:lang w:val="en-US"/>
              </w:rPr>
              <w:t>76</w:t>
            </w:r>
            <w:r w:rsidRPr="001D47E1">
              <w:rPr>
                <w:rFonts w:ascii="Times New Roman" w:hAnsi="Times New Roman" w:cs="Times New Roman"/>
                <w:sz w:val="20"/>
                <w:szCs w:val="20"/>
              </w:rPr>
              <w:t>)</w:t>
            </w:r>
          </w:p>
        </w:tc>
      </w:tr>
      <w:tr w:rsidR="00F4078D" w:rsidRPr="001D47E1" w14:paraId="795D6BB8"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8E7F3"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6 months after vaccination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70CA7"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39 (74)</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D1F10"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lang w:val="en-US"/>
              </w:rPr>
              <w:t>9</w:t>
            </w:r>
            <w:r w:rsidRPr="001D47E1">
              <w:rPr>
                <w:rFonts w:ascii="Times New Roman" w:hAnsi="Times New Roman" w:cs="Times New Roman"/>
                <w:sz w:val="20"/>
                <w:szCs w:val="20"/>
              </w:rPr>
              <w:t>/</w:t>
            </w:r>
            <w:r w:rsidRPr="001D47E1">
              <w:rPr>
                <w:rFonts w:ascii="Times New Roman" w:hAnsi="Times New Roman" w:cs="Times New Roman"/>
                <w:sz w:val="20"/>
                <w:szCs w:val="20"/>
                <w:lang w:val="en-US"/>
              </w:rPr>
              <w:t>17</w:t>
            </w:r>
            <w:r w:rsidRPr="001D47E1">
              <w:rPr>
                <w:rFonts w:ascii="Times New Roman" w:hAnsi="Times New Roman" w:cs="Times New Roman"/>
                <w:sz w:val="20"/>
                <w:szCs w:val="20"/>
              </w:rPr>
              <w:t xml:space="preserve"> (</w:t>
            </w:r>
            <w:r w:rsidRPr="001D47E1">
              <w:rPr>
                <w:rFonts w:ascii="Times New Roman" w:hAnsi="Times New Roman" w:cs="Times New Roman"/>
                <w:sz w:val="20"/>
                <w:szCs w:val="20"/>
                <w:lang w:val="en-US"/>
              </w:rPr>
              <w:t>53</w:t>
            </w:r>
            <w:r w:rsidRPr="001D47E1">
              <w:rPr>
                <w:rFonts w:ascii="Times New Roman" w:hAnsi="Times New Roman" w:cs="Times New Roman"/>
                <w:sz w:val="20"/>
                <w:szCs w:val="20"/>
              </w:rPr>
              <w:t>)</w:t>
            </w:r>
          </w:p>
        </w:tc>
      </w:tr>
      <w:tr w:rsidR="00F4078D" w:rsidRPr="001D47E1" w14:paraId="395BBB20"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A79EB"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sz w:val="20"/>
                <w:szCs w:val="20"/>
                <w:lang w:val="en-US"/>
              </w:rPr>
              <w:t>Difference</w:t>
            </w:r>
            <w:r w:rsidRPr="001D47E1">
              <w:rPr>
                <w:rFonts w:ascii="Times New Roman" w:hAnsi="Times New Roman" w:cs="Times New Roman"/>
                <w:sz w:val="20"/>
                <w:szCs w:val="20"/>
              </w:rPr>
              <w:t xml:space="preserve"> (95% </w:t>
            </w:r>
            <w:r w:rsidRPr="001D47E1">
              <w:rPr>
                <w:rFonts w:ascii="Times New Roman" w:hAnsi="Times New Roman" w:cs="Times New Roman"/>
                <w:sz w:val="20"/>
                <w:szCs w:val="20"/>
                <w:lang w:val="en-US"/>
              </w:rPr>
              <w:t>CI</w:t>
            </w:r>
            <w:r w:rsidRPr="001D47E1">
              <w:rPr>
                <w:rFonts w:ascii="Times New Roman" w:hAnsi="Times New Roman" w:cs="Times New Roman"/>
                <w:sz w:val="20"/>
                <w:szCs w:val="20"/>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3DA7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20,7 (7,6–33,9)</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062D0"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23,5 (−7,1…54,2)</w:t>
            </w:r>
          </w:p>
        </w:tc>
      </w:tr>
      <w:tr w:rsidR="00F4078D" w:rsidRPr="001D47E1" w14:paraId="2E1B2951" w14:textId="77777777">
        <w:trPr>
          <w:trHeight w:val="232"/>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6943E" w14:textId="77777777" w:rsidR="00F4078D" w:rsidRPr="001D47E1" w:rsidRDefault="00DE3225">
            <w:pPr>
              <w:spacing w:after="0" w:line="240" w:lineRule="auto"/>
              <w:jc w:val="right"/>
              <w:rPr>
                <w:rFonts w:ascii="Times New Roman" w:hAnsi="Times New Roman" w:cs="Times New Roman"/>
              </w:rPr>
            </w:pPr>
            <w:r w:rsidRPr="001D47E1">
              <w:rPr>
                <w:rFonts w:ascii="Times New Roman" w:hAnsi="Times New Roman" w:cs="Times New Roman"/>
                <w:i/>
                <w:iCs/>
                <w:sz w:val="20"/>
                <w:szCs w:val="20"/>
                <w:lang w:val="en-US"/>
              </w:rPr>
              <w:t>p</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1CB4A"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0,007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0BBA4"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0,289</w:t>
            </w:r>
          </w:p>
        </w:tc>
      </w:tr>
    </w:tbl>
    <w:p w14:paraId="630CDEBE" w14:textId="77777777" w:rsidR="00F4078D" w:rsidRPr="00567F27" w:rsidRDefault="00DE3225">
      <w:pPr>
        <w:widowControl w:val="0"/>
        <w:spacing w:after="0" w:line="240" w:lineRule="auto"/>
        <w:jc w:val="both"/>
        <w:rPr>
          <w:rFonts w:ascii="Times New Roman" w:eastAsia="Times New Roman" w:hAnsi="Times New Roman" w:cs="Times New Roman"/>
          <w:sz w:val="20"/>
          <w:szCs w:val="20"/>
          <w:lang w:val="en-US"/>
        </w:rPr>
      </w:pPr>
      <w:r w:rsidRPr="006C5A99">
        <w:rPr>
          <w:rFonts w:ascii="Times New Roman" w:hAnsi="Times New Roman"/>
          <w:bCs/>
          <w:i/>
          <w:iCs/>
          <w:sz w:val="20"/>
          <w:szCs w:val="20"/>
          <w:lang w:val="en-US"/>
        </w:rPr>
        <w:t>Note</w:t>
      </w:r>
      <w:r w:rsidRPr="006C5A99">
        <w:rPr>
          <w:rFonts w:ascii="Times New Roman" w:hAnsi="Times New Roman"/>
          <w:i/>
          <w:iCs/>
          <w:sz w:val="20"/>
          <w:szCs w:val="20"/>
          <w:lang w:val="en-US"/>
        </w:rPr>
        <w:t>.</w:t>
      </w:r>
      <w:r w:rsidRPr="00567F27">
        <w:rPr>
          <w:rFonts w:ascii="Times New Roman" w:hAnsi="Times New Roman"/>
          <w:sz w:val="20"/>
          <w:szCs w:val="20"/>
          <w:lang w:val="en-US"/>
        </w:rPr>
        <w:t xml:space="preserve"> </w:t>
      </w:r>
      <w:r>
        <w:rPr>
          <w:rFonts w:ascii="Times New Roman" w:hAnsi="Times New Roman"/>
          <w:sz w:val="20"/>
          <w:szCs w:val="20"/>
          <w:lang w:val="en-US"/>
        </w:rPr>
        <w:t>GEBD</w:t>
      </w:r>
      <w:r w:rsidR="0029361A">
        <w:rPr>
          <w:rFonts w:ascii="Times New Roman" w:hAnsi="Times New Roman"/>
          <w:sz w:val="20"/>
          <w:szCs w:val="20"/>
          <w:lang w:val="en-US"/>
        </w:rPr>
        <w:t xml:space="preserve"> </w:t>
      </w:r>
      <w:r w:rsidRPr="00567F27">
        <w:rPr>
          <w:rFonts w:ascii="Times New Roman" w:hAnsi="Times New Roman"/>
          <w:sz w:val="24"/>
          <w:szCs w:val="24"/>
          <w:lang w:val="en-US"/>
        </w:rPr>
        <w:t>—</w:t>
      </w:r>
      <w:r w:rsidRPr="00567F27">
        <w:rPr>
          <w:rFonts w:ascii="Times New Roman" w:hAnsi="Times New Roman"/>
          <w:sz w:val="20"/>
          <w:szCs w:val="20"/>
          <w:lang w:val="en-US"/>
        </w:rPr>
        <w:t xml:space="preserve"> </w:t>
      </w:r>
      <w:r>
        <w:rPr>
          <w:rFonts w:ascii="Times New Roman" w:hAnsi="Times New Roman"/>
          <w:sz w:val="20"/>
          <w:szCs w:val="20"/>
          <w:lang w:val="en-US"/>
        </w:rPr>
        <w:t>genetically engineered biologic drugs</w:t>
      </w:r>
      <w:r w:rsidRPr="00567F27">
        <w:rPr>
          <w:rFonts w:ascii="Times New Roman" w:hAnsi="Times New Roman"/>
          <w:sz w:val="20"/>
          <w:szCs w:val="20"/>
          <w:lang w:val="en-US"/>
        </w:rPr>
        <w:t xml:space="preserve">. * Calculated for persons who received antibacterial drugs (at least one episode) for 6 months before vaccination. ** In the group of patients with </w:t>
      </w:r>
      <w:r>
        <w:rPr>
          <w:rFonts w:ascii="Times New Roman" w:hAnsi="Times New Roman"/>
          <w:sz w:val="20"/>
          <w:szCs w:val="20"/>
          <w:lang w:val="en-US"/>
        </w:rPr>
        <w:t>SJIA</w:t>
      </w:r>
      <w:r w:rsidRPr="00567F27">
        <w:rPr>
          <w:rFonts w:ascii="Times New Roman" w:hAnsi="Times New Roman"/>
          <w:sz w:val="20"/>
          <w:szCs w:val="20"/>
          <w:lang w:val="en-US"/>
        </w:rPr>
        <w:t xml:space="preserve"> the indicator </w:t>
      </w:r>
      <w:r>
        <w:rPr>
          <w:rFonts w:ascii="Times New Roman" w:hAnsi="Times New Roman"/>
          <w:sz w:val="20"/>
          <w:szCs w:val="20"/>
          <w:lang w:val="en-US"/>
        </w:rPr>
        <w:t>was</w:t>
      </w:r>
      <w:r w:rsidRPr="00567F27">
        <w:rPr>
          <w:rFonts w:ascii="Times New Roman" w:hAnsi="Times New Roman"/>
          <w:sz w:val="20"/>
          <w:szCs w:val="20"/>
          <w:lang w:val="en-US"/>
        </w:rPr>
        <w:t xml:space="preserve"> calculated for 17 patients who previously received </w:t>
      </w:r>
      <w:r>
        <w:rPr>
          <w:rFonts w:ascii="Times New Roman" w:hAnsi="Times New Roman"/>
          <w:sz w:val="20"/>
          <w:szCs w:val="20"/>
          <w:lang w:val="en-US"/>
        </w:rPr>
        <w:t>GEBD</w:t>
      </w:r>
      <w:r w:rsidRPr="00567F27">
        <w:rPr>
          <w:rFonts w:ascii="Times New Roman" w:hAnsi="Times New Roman"/>
          <w:sz w:val="20"/>
          <w:szCs w:val="20"/>
          <w:lang w:val="en-US"/>
        </w:rPr>
        <w:t>.</w:t>
      </w:r>
      <w:r>
        <w:rPr>
          <w:rFonts w:ascii="Times New Roman" w:hAnsi="Times New Roman"/>
          <w:sz w:val="20"/>
          <w:szCs w:val="20"/>
          <w:lang w:val="en-US"/>
        </w:rPr>
        <w:t xml:space="preserve"> GEBD</w:t>
      </w:r>
      <w:r w:rsidRPr="00567F27">
        <w:rPr>
          <w:rFonts w:ascii="Times New Roman" w:hAnsi="Times New Roman"/>
          <w:sz w:val="20"/>
          <w:szCs w:val="20"/>
          <w:lang w:val="en-US"/>
        </w:rPr>
        <w:t xml:space="preserve"> withdrawal (at least one episode) was reported in 6 out of 8 cases</w:t>
      </w:r>
      <w:r>
        <w:rPr>
          <w:rFonts w:ascii="Times New Roman" w:hAnsi="Times New Roman"/>
          <w:sz w:val="20"/>
          <w:szCs w:val="20"/>
          <w:lang w:val="en-US"/>
        </w:rPr>
        <w:t xml:space="preserve"> i</w:t>
      </w:r>
      <w:r w:rsidR="0029361A">
        <w:rPr>
          <w:rFonts w:ascii="Times New Roman" w:hAnsi="Times New Roman"/>
          <w:sz w:val="20"/>
          <w:szCs w:val="20"/>
          <w:lang w:val="en-US"/>
        </w:rPr>
        <w:t xml:space="preserve">n the group of </w:t>
      </w:r>
      <w:r w:rsidR="0029361A" w:rsidRPr="0029361A">
        <w:rPr>
          <w:rFonts w:ascii="Times New Roman" w:hAnsi="Times New Roman"/>
          <w:sz w:val="20"/>
          <w:szCs w:val="20"/>
          <w:lang w:val="en-US"/>
        </w:rPr>
        <w:t>«</w:t>
      </w:r>
      <w:r w:rsidR="0029361A">
        <w:rPr>
          <w:rFonts w:ascii="Times New Roman" w:hAnsi="Times New Roman"/>
          <w:sz w:val="20"/>
          <w:szCs w:val="20"/>
          <w:lang w:val="en-US"/>
        </w:rPr>
        <w:t>naive</w:t>
      </w:r>
      <w:r w:rsidR="0029361A" w:rsidRPr="0029361A">
        <w:rPr>
          <w:rFonts w:ascii="Times New Roman" w:hAnsi="Times New Roman"/>
          <w:sz w:val="20"/>
          <w:szCs w:val="20"/>
          <w:lang w:val="en-US"/>
        </w:rPr>
        <w:t>»</w:t>
      </w:r>
      <w:r w:rsidRPr="00567F27">
        <w:rPr>
          <w:rFonts w:ascii="Times New Roman" w:hAnsi="Times New Roman"/>
          <w:sz w:val="20"/>
          <w:szCs w:val="20"/>
          <w:lang w:val="en-US"/>
        </w:rPr>
        <w:t xml:space="preserve"> </w:t>
      </w:r>
      <w:r>
        <w:rPr>
          <w:rFonts w:ascii="Times New Roman" w:hAnsi="Times New Roman"/>
          <w:sz w:val="20"/>
          <w:szCs w:val="20"/>
          <w:lang w:val="en-US"/>
        </w:rPr>
        <w:t>GEBD</w:t>
      </w:r>
      <w:r w:rsidRPr="00567F27">
        <w:rPr>
          <w:rFonts w:ascii="Times New Roman" w:hAnsi="Times New Roman"/>
          <w:sz w:val="20"/>
          <w:szCs w:val="20"/>
          <w:lang w:val="en-US"/>
        </w:rPr>
        <w:t xml:space="preserve"> patients within 6 months after vaccination (the drug </w:t>
      </w:r>
      <w:r>
        <w:rPr>
          <w:rFonts w:ascii="Times New Roman" w:hAnsi="Times New Roman"/>
          <w:sz w:val="20"/>
          <w:szCs w:val="20"/>
          <w:lang w:val="en-US"/>
        </w:rPr>
        <w:t>was administrated</w:t>
      </w:r>
      <w:r w:rsidRPr="00567F27">
        <w:rPr>
          <w:rFonts w:ascii="Times New Roman" w:hAnsi="Times New Roman"/>
          <w:sz w:val="20"/>
          <w:szCs w:val="20"/>
          <w:lang w:val="en-US"/>
        </w:rPr>
        <w:t xml:space="preserve"> </w:t>
      </w:r>
      <w:r>
        <w:rPr>
          <w:rFonts w:ascii="Times New Roman" w:hAnsi="Times New Roman"/>
          <w:sz w:val="20"/>
          <w:szCs w:val="20"/>
          <w:lang w:val="en-US"/>
        </w:rPr>
        <w:t xml:space="preserve">in </w:t>
      </w:r>
      <w:r w:rsidRPr="00567F27">
        <w:rPr>
          <w:rFonts w:ascii="Times New Roman" w:hAnsi="Times New Roman"/>
          <w:sz w:val="20"/>
          <w:szCs w:val="20"/>
          <w:lang w:val="en-US"/>
        </w:rPr>
        <w:t>3 weeks after vaccination).</w:t>
      </w:r>
    </w:p>
    <w:p w14:paraId="7FCA0273" w14:textId="77777777" w:rsidR="00F4078D" w:rsidRPr="00567F27" w:rsidRDefault="00F4078D">
      <w:pPr>
        <w:pStyle w:val="a5"/>
        <w:jc w:val="both"/>
        <w:rPr>
          <w:sz w:val="24"/>
          <w:szCs w:val="24"/>
          <w:lang w:val="en-US"/>
        </w:rPr>
      </w:pPr>
    </w:p>
    <w:p w14:paraId="03CCF768" w14:textId="77777777" w:rsidR="00F4078D" w:rsidRPr="00567F27" w:rsidRDefault="00DE3225">
      <w:pPr>
        <w:pStyle w:val="a5"/>
        <w:jc w:val="both"/>
        <w:rPr>
          <w:sz w:val="24"/>
          <w:szCs w:val="24"/>
          <w:lang w:val="en-US"/>
        </w:rPr>
      </w:pPr>
      <w:r>
        <w:rPr>
          <w:b/>
          <w:bCs/>
          <w:sz w:val="24"/>
          <w:szCs w:val="24"/>
          <w:lang w:val="en-US"/>
        </w:rPr>
        <w:t>Table</w:t>
      </w:r>
      <w:r w:rsidR="0029361A">
        <w:rPr>
          <w:b/>
          <w:bCs/>
          <w:sz w:val="24"/>
          <w:szCs w:val="24"/>
          <w:lang w:val="en-US"/>
        </w:rPr>
        <w:t> </w:t>
      </w:r>
      <w:r w:rsidRPr="00567F27">
        <w:rPr>
          <w:b/>
          <w:bCs/>
          <w:sz w:val="24"/>
          <w:szCs w:val="24"/>
          <w:lang w:val="en-US"/>
        </w:rPr>
        <w:t>4</w:t>
      </w:r>
      <w:r w:rsidRPr="00567F27">
        <w:rPr>
          <w:sz w:val="24"/>
          <w:szCs w:val="24"/>
          <w:lang w:val="en-US"/>
        </w:rPr>
        <w:t xml:space="preserve">. </w:t>
      </w:r>
      <w:r>
        <w:rPr>
          <w:sz w:val="24"/>
          <w:szCs w:val="24"/>
          <w:lang w:val="en-US"/>
        </w:rPr>
        <w:t>Frequency of</w:t>
      </w:r>
      <w:r w:rsidRPr="00567F27">
        <w:rPr>
          <w:sz w:val="24"/>
          <w:szCs w:val="24"/>
          <w:lang w:val="en-US"/>
        </w:rPr>
        <w:t xml:space="preserve"> adverse effect</w:t>
      </w:r>
      <w:r>
        <w:rPr>
          <w:sz w:val="24"/>
          <w:szCs w:val="24"/>
          <w:lang w:val="en-US"/>
        </w:rPr>
        <w:t>s</w:t>
      </w:r>
      <w:r w:rsidRPr="00567F27">
        <w:rPr>
          <w:sz w:val="24"/>
          <w:szCs w:val="24"/>
          <w:lang w:val="en-US"/>
        </w:rPr>
        <w:t xml:space="preserve"> </w:t>
      </w:r>
      <w:r>
        <w:rPr>
          <w:sz w:val="24"/>
          <w:szCs w:val="24"/>
          <w:lang w:val="en-US"/>
        </w:rPr>
        <w:t>registered</w:t>
      </w:r>
      <w:r w:rsidRPr="00567F27">
        <w:rPr>
          <w:sz w:val="24"/>
          <w:szCs w:val="24"/>
          <w:lang w:val="en-US"/>
        </w:rPr>
        <w:t xml:space="preserve"> </w:t>
      </w:r>
      <w:r>
        <w:rPr>
          <w:sz w:val="24"/>
          <w:szCs w:val="24"/>
          <w:lang w:val="en-US"/>
        </w:rPr>
        <w:t>within</w:t>
      </w:r>
      <w:r w:rsidRPr="00567F27">
        <w:rPr>
          <w:sz w:val="24"/>
          <w:szCs w:val="24"/>
          <w:lang w:val="en-US"/>
        </w:rPr>
        <w:t xml:space="preserve"> 4 </w:t>
      </w:r>
      <w:r>
        <w:rPr>
          <w:sz w:val="24"/>
          <w:szCs w:val="24"/>
          <w:lang w:val="en-US"/>
        </w:rPr>
        <w:t>weeks</w:t>
      </w:r>
      <w:r w:rsidRPr="00567F27">
        <w:rPr>
          <w:sz w:val="24"/>
          <w:szCs w:val="24"/>
          <w:lang w:val="en-US"/>
        </w:rPr>
        <w:t xml:space="preserve"> </w:t>
      </w:r>
      <w:r>
        <w:rPr>
          <w:sz w:val="24"/>
          <w:szCs w:val="24"/>
          <w:lang w:val="en-US"/>
        </w:rPr>
        <w:t>after PCV-13 vaccination</w:t>
      </w:r>
    </w:p>
    <w:tbl>
      <w:tblPr>
        <w:tblStyle w:val="TableNormal"/>
        <w:tblW w:w="850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4"/>
        <w:gridCol w:w="2125"/>
        <w:gridCol w:w="2126"/>
      </w:tblGrid>
      <w:tr w:rsidR="00F4078D" w:rsidRPr="001D47E1" w14:paraId="7B09BA07" w14:textId="77777777">
        <w:trPr>
          <w:trHeight w:val="452"/>
        </w:trPr>
        <w:tc>
          <w:tcPr>
            <w:tcW w:w="4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C0D8C"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b/>
                <w:bCs/>
                <w:sz w:val="20"/>
                <w:szCs w:val="20"/>
                <w:lang w:val="en-US"/>
              </w:rPr>
              <w:t>Indicators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0999D"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b/>
                <w:bCs/>
                <w:sz w:val="20"/>
                <w:szCs w:val="20"/>
              </w:rPr>
              <w:t xml:space="preserve">SJIA, </w:t>
            </w:r>
            <w:proofErr w:type="spellStart"/>
            <w:r w:rsidRPr="001D47E1">
              <w:rPr>
                <w:rFonts w:ascii="Times New Roman" w:hAnsi="Times New Roman" w:cs="Times New Roman"/>
                <w:b/>
                <w:bCs/>
                <w:sz w:val="20"/>
                <w:szCs w:val="20"/>
              </w:rPr>
              <w:t>remission</w:t>
            </w:r>
            <w:proofErr w:type="spellEnd"/>
            <w:r w:rsidRPr="001D47E1">
              <w:rPr>
                <w:rFonts w:ascii="Times New Roman" w:hAnsi="Times New Roman" w:cs="Times New Roman"/>
                <w:b/>
                <w:bCs/>
                <w:sz w:val="20"/>
                <w:szCs w:val="20"/>
              </w:rPr>
              <w:t xml:space="preserve"> (</w:t>
            </w:r>
            <w:r w:rsidRPr="001D47E1">
              <w:rPr>
                <w:rFonts w:ascii="Times New Roman" w:hAnsi="Times New Roman" w:cs="Times New Roman"/>
                <w:b/>
                <w:bCs/>
                <w:i/>
                <w:iCs/>
                <w:sz w:val="20"/>
                <w:szCs w:val="20"/>
              </w:rPr>
              <w:t>n</w:t>
            </w:r>
            <w:r w:rsidRPr="001D47E1">
              <w:rPr>
                <w:rFonts w:ascii="Times New Roman" w:hAnsi="Times New Roman" w:cs="Times New Roman"/>
                <w:b/>
                <w:bCs/>
                <w:sz w:val="20"/>
                <w:szCs w:val="20"/>
              </w:rPr>
              <w:t xml:space="preserve"> = 53), % (95% </w:t>
            </w:r>
            <w:r w:rsidRPr="001D47E1">
              <w:rPr>
                <w:rFonts w:ascii="Times New Roman" w:hAnsi="Times New Roman" w:cs="Times New Roman"/>
                <w:b/>
                <w:bCs/>
                <w:sz w:val="20"/>
                <w:szCs w:val="20"/>
                <w:lang w:val="en-US"/>
              </w:rPr>
              <w:t>CI</w:t>
            </w:r>
            <w:r w:rsidRPr="001D47E1">
              <w:rPr>
                <w:rFonts w:ascii="Times New Roman" w:hAnsi="Times New Roman" w:cs="Times New Roman"/>
                <w:b/>
                <w:bCs/>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1E92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b/>
                <w:bCs/>
                <w:sz w:val="20"/>
                <w:szCs w:val="20"/>
              </w:rPr>
              <w:t xml:space="preserve">SJIA, </w:t>
            </w:r>
            <w:proofErr w:type="spellStart"/>
            <w:r w:rsidRPr="001D47E1">
              <w:rPr>
                <w:rFonts w:ascii="Times New Roman" w:hAnsi="Times New Roman" w:cs="Times New Roman"/>
                <w:b/>
                <w:bCs/>
                <w:sz w:val="20"/>
                <w:szCs w:val="20"/>
              </w:rPr>
              <w:t>active</w:t>
            </w:r>
            <w:proofErr w:type="spellEnd"/>
            <w:r w:rsidRPr="001D47E1">
              <w:rPr>
                <w:rFonts w:ascii="Times New Roman" w:hAnsi="Times New Roman" w:cs="Times New Roman"/>
                <w:b/>
                <w:bCs/>
                <w:sz w:val="20"/>
                <w:szCs w:val="20"/>
              </w:rPr>
              <w:t xml:space="preserve"> (</w:t>
            </w:r>
            <w:r w:rsidRPr="001D47E1">
              <w:rPr>
                <w:rFonts w:ascii="Times New Roman" w:hAnsi="Times New Roman" w:cs="Times New Roman"/>
                <w:b/>
                <w:bCs/>
                <w:i/>
                <w:iCs/>
                <w:sz w:val="20"/>
                <w:szCs w:val="20"/>
              </w:rPr>
              <w:t>n</w:t>
            </w:r>
            <w:r w:rsidRPr="001D47E1">
              <w:rPr>
                <w:rFonts w:ascii="Times New Roman" w:hAnsi="Times New Roman" w:cs="Times New Roman"/>
                <w:b/>
                <w:bCs/>
                <w:sz w:val="20"/>
                <w:szCs w:val="20"/>
              </w:rPr>
              <w:t xml:space="preserve"> = 25), % (95% </w:t>
            </w:r>
            <w:r w:rsidRPr="001D47E1">
              <w:rPr>
                <w:rFonts w:ascii="Times New Roman" w:hAnsi="Times New Roman" w:cs="Times New Roman"/>
                <w:b/>
                <w:bCs/>
                <w:sz w:val="20"/>
                <w:szCs w:val="20"/>
                <w:lang w:val="en-US"/>
              </w:rPr>
              <w:t>CI</w:t>
            </w:r>
            <w:r w:rsidRPr="001D47E1">
              <w:rPr>
                <w:rFonts w:ascii="Times New Roman" w:hAnsi="Times New Roman" w:cs="Times New Roman"/>
                <w:b/>
                <w:bCs/>
                <w:sz w:val="20"/>
                <w:szCs w:val="20"/>
              </w:rPr>
              <w:t>)</w:t>
            </w:r>
          </w:p>
        </w:tc>
      </w:tr>
      <w:tr w:rsidR="00F4078D" w:rsidRPr="001D47E1" w14:paraId="4B4C6B54" w14:textId="77777777">
        <w:trPr>
          <w:trHeight w:val="892"/>
        </w:trPr>
        <w:tc>
          <w:tcPr>
            <w:tcW w:w="4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2A856" w14:textId="77777777" w:rsidR="00F4078D" w:rsidRPr="001D47E1" w:rsidRDefault="00DE3225">
            <w:pPr>
              <w:spacing w:after="0" w:line="240" w:lineRule="auto"/>
              <w:jc w:val="both"/>
              <w:rPr>
                <w:rFonts w:ascii="Times New Roman" w:eastAsia="Times New Roman" w:hAnsi="Times New Roman" w:cs="Times New Roman"/>
                <w:sz w:val="20"/>
                <w:szCs w:val="20"/>
              </w:rPr>
            </w:pPr>
            <w:r w:rsidRPr="001D47E1">
              <w:rPr>
                <w:rFonts w:ascii="Times New Roman" w:hAnsi="Times New Roman" w:cs="Times New Roman"/>
                <w:sz w:val="20"/>
                <w:szCs w:val="20"/>
                <w:lang w:val="en-US"/>
              </w:rPr>
              <w:t>Mild</w:t>
            </w:r>
            <w:r w:rsidRPr="001D47E1">
              <w:rPr>
                <w:rFonts w:ascii="Times New Roman" w:hAnsi="Times New Roman" w:cs="Times New Roman"/>
                <w:sz w:val="20"/>
                <w:szCs w:val="20"/>
              </w:rPr>
              <w:t xml:space="preserve"> </w:t>
            </w:r>
            <w:r w:rsidRPr="001D47E1">
              <w:rPr>
                <w:rFonts w:ascii="Times New Roman" w:hAnsi="Times New Roman" w:cs="Times New Roman"/>
                <w:sz w:val="20"/>
                <w:szCs w:val="20"/>
                <w:lang w:val="en-US"/>
              </w:rPr>
              <w:t>AE</w:t>
            </w:r>
          </w:p>
          <w:p w14:paraId="1570C695" w14:textId="77777777" w:rsidR="00F4078D" w:rsidRPr="001D47E1" w:rsidRDefault="00DE3225">
            <w:pPr>
              <w:numPr>
                <w:ilvl w:val="0"/>
                <w:numId w:val="8"/>
              </w:numPr>
              <w:spacing w:after="0" w:line="240" w:lineRule="auto"/>
              <w:jc w:val="both"/>
              <w:rPr>
                <w:rFonts w:ascii="Times New Roman" w:hAnsi="Times New Roman" w:cs="Times New Roman"/>
                <w:sz w:val="20"/>
                <w:szCs w:val="20"/>
                <w:lang w:val="en-US"/>
              </w:rPr>
            </w:pPr>
            <w:r w:rsidRPr="001D47E1">
              <w:rPr>
                <w:rFonts w:ascii="Times New Roman" w:hAnsi="Times New Roman" w:cs="Times New Roman"/>
                <w:sz w:val="20"/>
                <w:szCs w:val="20"/>
                <w:lang w:val="en-US"/>
              </w:rPr>
              <w:t>edema</w:t>
            </w:r>
            <w:r w:rsidRPr="001D47E1">
              <w:rPr>
                <w:rFonts w:ascii="Times New Roman" w:hAnsi="Times New Roman" w:cs="Times New Roman"/>
                <w:sz w:val="20"/>
                <w:szCs w:val="20"/>
              </w:rPr>
              <w:t>/</w:t>
            </w:r>
            <w:r w:rsidRPr="001D47E1">
              <w:rPr>
                <w:rFonts w:ascii="Times New Roman" w:hAnsi="Times New Roman" w:cs="Times New Roman"/>
                <w:sz w:val="20"/>
                <w:szCs w:val="20"/>
                <w:lang w:val="en-US"/>
              </w:rPr>
              <w:t>soreness in injection site</w:t>
            </w:r>
          </w:p>
          <w:p w14:paraId="227F05B7" w14:textId="77777777" w:rsidR="00F4078D" w:rsidRPr="001D47E1" w:rsidRDefault="001D47E1">
            <w:pPr>
              <w:numPr>
                <w:ilvl w:val="0"/>
                <w:numId w:val="8"/>
              </w:numPr>
              <w:spacing w:after="0" w:line="240" w:lineRule="auto"/>
              <w:jc w:val="both"/>
              <w:rPr>
                <w:rFonts w:ascii="Times New Roman" w:hAnsi="Times New Roman" w:cs="Times New Roman"/>
                <w:sz w:val="20"/>
                <w:szCs w:val="20"/>
                <w:lang w:val="en-US"/>
              </w:rPr>
            </w:pPr>
            <w:proofErr w:type="spellStart"/>
            <w:r w:rsidRPr="001D47E1">
              <w:rPr>
                <w:rFonts w:ascii="Times New Roman" w:hAnsi="Times New Roman" w:cs="Times New Roman"/>
                <w:sz w:val="20"/>
                <w:szCs w:val="20"/>
                <w:lang w:val="en-US"/>
              </w:rPr>
              <w:t>hyperaemia</w:t>
            </w:r>
            <w:proofErr w:type="spellEnd"/>
            <w:r w:rsidRPr="001D47E1">
              <w:rPr>
                <w:rFonts w:ascii="Times New Roman" w:hAnsi="Times New Roman" w:cs="Times New Roman"/>
                <w:sz w:val="20"/>
                <w:szCs w:val="20"/>
                <w:lang w:val="en-US"/>
              </w:rPr>
              <w:t xml:space="preserve"> in</w:t>
            </w:r>
            <w:r w:rsidR="00DE3225" w:rsidRPr="001D47E1">
              <w:rPr>
                <w:rFonts w:ascii="Times New Roman" w:hAnsi="Times New Roman" w:cs="Times New Roman"/>
                <w:sz w:val="20"/>
                <w:szCs w:val="20"/>
              </w:rPr>
              <w:t xml:space="preserve"> </w:t>
            </w:r>
            <w:r w:rsidR="00DE3225" w:rsidRPr="001D47E1">
              <w:rPr>
                <w:rFonts w:ascii="Times New Roman" w:hAnsi="Times New Roman" w:cs="Times New Roman"/>
                <w:sz w:val="20"/>
                <w:szCs w:val="20"/>
                <w:lang w:val="en-US"/>
              </w:rPr>
              <w:t>injection site</w:t>
            </w:r>
          </w:p>
          <w:p w14:paraId="7E0B112C" w14:textId="77777777" w:rsidR="00F4078D" w:rsidRPr="001D47E1" w:rsidRDefault="00DE3225">
            <w:pPr>
              <w:numPr>
                <w:ilvl w:val="0"/>
                <w:numId w:val="8"/>
              </w:numPr>
              <w:spacing w:after="0" w:line="240" w:lineRule="auto"/>
              <w:jc w:val="both"/>
              <w:rPr>
                <w:rFonts w:ascii="Times New Roman" w:hAnsi="Times New Roman" w:cs="Times New Roman"/>
                <w:sz w:val="20"/>
                <w:szCs w:val="20"/>
                <w:lang w:val="en-US"/>
              </w:rPr>
            </w:pPr>
            <w:r w:rsidRPr="001D47E1">
              <w:rPr>
                <w:rFonts w:ascii="Times New Roman" w:hAnsi="Times New Roman" w:cs="Times New Roman"/>
                <w:sz w:val="20"/>
                <w:szCs w:val="20"/>
                <w:lang w:val="en-US"/>
              </w:rPr>
              <w:t>fever</w:t>
            </w:r>
            <w:r w:rsidRPr="001D47E1">
              <w:rPr>
                <w:rFonts w:ascii="Times New Roman" w:hAnsi="Times New Roman" w:cs="Times New Roman"/>
                <w:sz w:val="20"/>
                <w:szCs w:val="20"/>
              </w:rPr>
              <w:t xml:space="preserve"> (≥ 37 °С)</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EC112"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42 (29–55)</w:t>
            </w:r>
          </w:p>
          <w:p w14:paraId="2A617B39"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36 (24–49)</w:t>
            </w:r>
          </w:p>
          <w:p w14:paraId="78C10F92"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11 (5–23)</w:t>
            </w:r>
          </w:p>
          <w:p w14:paraId="217F5A63"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21 (12–33)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B55AB"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28 (14–35)</w:t>
            </w:r>
          </w:p>
          <w:p w14:paraId="06D24276"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36 (20–55)</w:t>
            </w:r>
          </w:p>
        </w:tc>
      </w:tr>
      <w:tr w:rsidR="00F4078D" w:rsidRPr="001D47E1" w14:paraId="777B5C56" w14:textId="77777777">
        <w:trPr>
          <w:trHeight w:val="232"/>
        </w:trPr>
        <w:tc>
          <w:tcPr>
            <w:tcW w:w="4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E53C6" w14:textId="77777777" w:rsidR="00F4078D" w:rsidRPr="001D47E1" w:rsidRDefault="00DE3225">
            <w:pPr>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Severe</w:t>
            </w:r>
            <w:r w:rsidRPr="001D47E1">
              <w:rPr>
                <w:rFonts w:ascii="Times New Roman" w:hAnsi="Times New Roman" w:cs="Times New Roman"/>
                <w:sz w:val="20"/>
                <w:szCs w:val="20"/>
              </w:rPr>
              <w:t xml:space="preserve"> </w:t>
            </w:r>
            <w:r w:rsidRPr="001D47E1">
              <w:rPr>
                <w:rFonts w:ascii="Times New Roman" w:hAnsi="Times New Roman" w:cs="Times New Roman"/>
                <w:sz w:val="20"/>
                <w:szCs w:val="20"/>
                <w:lang w:val="en-US"/>
              </w:rPr>
              <w:t>AE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0C01A"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2 (0,3–10)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671DF"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w:t>
            </w:r>
          </w:p>
        </w:tc>
      </w:tr>
    </w:tbl>
    <w:p w14:paraId="529257C3" w14:textId="77777777" w:rsidR="00F4078D" w:rsidRPr="0029361A" w:rsidRDefault="00DE3225">
      <w:pPr>
        <w:pStyle w:val="a5"/>
        <w:jc w:val="both"/>
        <w:rPr>
          <w:sz w:val="22"/>
          <w:lang w:val="en-US"/>
        </w:rPr>
      </w:pPr>
      <w:r w:rsidRPr="006C5A99">
        <w:rPr>
          <w:bCs/>
          <w:i/>
          <w:iCs/>
          <w:sz w:val="20"/>
          <w:szCs w:val="20"/>
          <w:lang w:val="en-US"/>
        </w:rPr>
        <w:t>Note</w:t>
      </w:r>
      <w:r w:rsidRPr="006C5A99">
        <w:rPr>
          <w:i/>
          <w:iCs/>
          <w:sz w:val="20"/>
          <w:szCs w:val="20"/>
          <w:lang w:val="en-US"/>
        </w:rPr>
        <w:t>.</w:t>
      </w:r>
      <w:r w:rsidRPr="00567F27">
        <w:rPr>
          <w:sz w:val="20"/>
          <w:szCs w:val="20"/>
          <w:lang w:val="en-US"/>
        </w:rPr>
        <w:t xml:space="preserve"> </w:t>
      </w:r>
      <w:r w:rsidR="001D47E1">
        <w:rPr>
          <w:sz w:val="20"/>
          <w:szCs w:val="20"/>
          <w:lang w:val="en-US"/>
        </w:rPr>
        <w:t>AE</w:t>
      </w:r>
      <w:r w:rsidRPr="00567F27">
        <w:rPr>
          <w:sz w:val="20"/>
          <w:szCs w:val="20"/>
          <w:lang w:val="en-US"/>
        </w:rPr>
        <w:t xml:space="preserve"> — </w:t>
      </w:r>
      <w:r>
        <w:rPr>
          <w:sz w:val="20"/>
          <w:szCs w:val="20"/>
          <w:lang w:val="en-US"/>
        </w:rPr>
        <w:t>adverse effects</w:t>
      </w:r>
      <w:r w:rsidRPr="00567F27">
        <w:rPr>
          <w:sz w:val="20"/>
          <w:szCs w:val="20"/>
          <w:lang w:val="en-US"/>
        </w:rPr>
        <w:t xml:space="preserve"> (all medical events, local (edema/soreness, injection site </w:t>
      </w:r>
      <w:proofErr w:type="spellStart"/>
      <w:r>
        <w:rPr>
          <w:sz w:val="20"/>
          <w:szCs w:val="20"/>
          <w:lang w:val="en-US"/>
        </w:rPr>
        <w:t>hyperaemia</w:t>
      </w:r>
      <w:proofErr w:type="spellEnd"/>
      <w:r w:rsidRPr="00567F27">
        <w:rPr>
          <w:sz w:val="20"/>
          <w:szCs w:val="20"/>
          <w:lang w:val="en-US"/>
        </w:rPr>
        <w:t>) and general (fever) occurring within 4 weeks after PCV-13 vaccination; see Methods for more information). In all cases the event rate value and 95% CI are given, the number of events is given in the text.</w:t>
      </w:r>
    </w:p>
    <w:p w14:paraId="533DABE1" w14:textId="77777777" w:rsidR="00F4078D" w:rsidRPr="001D47E1" w:rsidRDefault="00F4078D">
      <w:pPr>
        <w:tabs>
          <w:tab w:val="left" w:pos="851"/>
        </w:tabs>
        <w:spacing w:after="0" w:line="240" w:lineRule="auto"/>
        <w:jc w:val="both"/>
        <w:rPr>
          <w:rFonts w:ascii="Times New Roman" w:hAnsi="Times New Roman" w:cs="Times New Roman"/>
          <w:sz w:val="24"/>
          <w:lang w:val="en-US"/>
        </w:rPr>
      </w:pPr>
    </w:p>
    <w:p w14:paraId="7FF7C0FC" w14:textId="77777777" w:rsidR="00F4078D" w:rsidRPr="00567F27" w:rsidRDefault="00DE3225">
      <w:pPr>
        <w:tabs>
          <w:tab w:val="left" w:pos="851"/>
        </w:tabs>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Table</w:t>
      </w:r>
      <w:r w:rsidR="0029361A">
        <w:rPr>
          <w:rFonts w:ascii="Times New Roman" w:hAnsi="Times New Roman"/>
          <w:b/>
          <w:bCs/>
          <w:sz w:val="24"/>
          <w:szCs w:val="24"/>
          <w:lang w:val="en-US"/>
        </w:rPr>
        <w:t> </w:t>
      </w:r>
      <w:r w:rsidRPr="00567F27">
        <w:rPr>
          <w:rFonts w:ascii="Times New Roman" w:hAnsi="Times New Roman"/>
          <w:b/>
          <w:bCs/>
          <w:sz w:val="24"/>
          <w:szCs w:val="24"/>
          <w:lang w:val="en-US"/>
        </w:rPr>
        <w:t>5</w:t>
      </w:r>
      <w:r w:rsidRPr="00567F27">
        <w:rPr>
          <w:rFonts w:ascii="Times New Roman" w:hAnsi="Times New Roman"/>
          <w:sz w:val="24"/>
          <w:szCs w:val="24"/>
          <w:lang w:val="en-US"/>
        </w:rPr>
        <w:t xml:space="preserve">. </w:t>
      </w:r>
      <w:r>
        <w:rPr>
          <w:rFonts w:ascii="Times New Roman" w:hAnsi="Times New Roman"/>
          <w:sz w:val="24"/>
          <w:szCs w:val="24"/>
          <w:lang w:val="en-US"/>
        </w:rPr>
        <w:t>Anti</w:t>
      </w:r>
      <w:r w:rsidRPr="00567F27">
        <w:rPr>
          <w:rFonts w:ascii="Times New Roman" w:hAnsi="Times New Roman"/>
          <w:sz w:val="24"/>
          <w:szCs w:val="24"/>
          <w:lang w:val="en-US"/>
        </w:rPr>
        <w:t xml:space="preserve">-SPP IgG </w:t>
      </w:r>
      <w:r>
        <w:rPr>
          <w:rFonts w:ascii="Times New Roman" w:hAnsi="Times New Roman"/>
          <w:sz w:val="24"/>
          <w:szCs w:val="24"/>
          <w:lang w:val="en-US"/>
        </w:rPr>
        <w:t>level in serum of patients with SJIA initially and 4 weeks after PCV-13 vaccination</w:t>
      </w:r>
    </w:p>
    <w:tbl>
      <w:tblPr>
        <w:tblStyle w:val="TableNormal"/>
        <w:tblW w:w="90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2127"/>
        <w:gridCol w:w="1860"/>
        <w:gridCol w:w="1026"/>
      </w:tblGrid>
      <w:tr w:rsidR="00F4078D" w:rsidRPr="001D47E1" w14:paraId="17F5AB3B" w14:textId="77777777">
        <w:trPr>
          <w:trHeight w:val="310"/>
        </w:trPr>
        <w:tc>
          <w:tcPr>
            <w:tcW w:w="4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3731D" w14:textId="77777777" w:rsidR="00F4078D" w:rsidRPr="001D47E1" w:rsidRDefault="00DE3225">
            <w:pPr>
              <w:tabs>
                <w:tab w:val="left" w:pos="851"/>
              </w:tabs>
              <w:spacing w:after="0" w:line="240" w:lineRule="auto"/>
              <w:jc w:val="both"/>
              <w:rPr>
                <w:rFonts w:ascii="Times New Roman" w:hAnsi="Times New Roman" w:cs="Times New Roman"/>
              </w:rPr>
            </w:pPr>
            <w:r w:rsidRPr="001D47E1">
              <w:rPr>
                <w:rFonts w:ascii="Times New Roman" w:hAnsi="Times New Roman" w:cs="Times New Roman"/>
                <w:b/>
                <w:bCs/>
                <w:sz w:val="20"/>
                <w:szCs w:val="20"/>
                <w:lang w:val="en-US"/>
              </w:rPr>
              <w:t>Indicators</w:t>
            </w:r>
          </w:p>
        </w:tc>
        <w:tc>
          <w:tcPr>
            <w:tcW w:w="3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40B36" w14:textId="77777777" w:rsidR="00F4078D" w:rsidRPr="001D47E1" w:rsidRDefault="00DE3225">
            <w:pPr>
              <w:tabs>
                <w:tab w:val="left" w:pos="851"/>
              </w:tabs>
              <w:spacing w:after="0" w:line="240" w:lineRule="auto"/>
              <w:jc w:val="center"/>
              <w:rPr>
                <w:rFonts w:ascii="Times New Roman" w:hAnsi="Times New Roman" w:cs="Times New Roman"/>
              </w:rPr>
            </w:pPr>
            <w:r w:rsidRPr="001D47E1">
              <w:rPr>
                <w:rFonts w:ascii="Times New Roman" w:hAnsi="Times New Roman" w:cs="Times New Roman"/>
                <w:b/>
                <w:bCs/>
                <w:sz w:val="24"/>
                <w:szCs w:val="24"/>
              </w:rPr>
              <w:t xml:space="preserve">SJIA, </w:t>
            </w:r>
            <w:proofErr w:type="spellStart"/>
            <w:r w:rsidRPr="001D47E1">
              <w:rPr>
                <w:rFonts w:ascii="Times New Roman" w:hAnsi="Times New Roman" w:cs="Times New Roman"/>
                <w:b/>
                <w:bCs/>
                <w:sz w:val="24"/>
                <w:szCs w:val="24"/>
              </w:rPr>
              <w:t>active</w:t>
            </w:r>
            <w:proofErr w:type="spellEnd"/>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ECAC5" w14:textId="77777777" w:rsidR="00F4078D" w:rsidRPr="001D47E1" w:rsidRDefault="00DE3225">
            <w:pPr>
              <w:tabs>
                <w:tab w:val="left" w:pos="851"/>
              </w:tabs>
              <w:spacing w:after="0" w:line="240" w:lineRule="auto"/>
              <w:jc w:val="both"/>
              <w:rPr>
                <w:rFonts w:ascii="Times New Roman" w:hAnsi="Times New Roman" w:cs="Times New Roman"/>
              </w:rPr>
            </w:pPr>
            <w:r w:rsidRPr="001D47E1">
              <w:rPr>
                <w:rFonts w:ascii="Times New Roman" w:hAnsi="Times New Roman" w:cs="Times New Roman"/>
                <w:b/>
                <w:bCs/>
                <w:i/>
                <w:iCs/>
                <w:sz w:val="20"/>
                <w:szCs w:val="20"/>
                <w:lang w:val="en-US"/>
              </w:rPr>
              <w:t>p</w:t>
            </w:r>
          </w:p>
        </w:tc>
      </w:tr>
      <w:tr w:rsidR="00F4078D" w:rsidRPr="006C5A99" w14:paraId="2C5B05FB" w14:textId="77777777">
        <w:trPr>
          <w:trHeight w:val="672"/>
        </w:trPr>
        <w:tc>
          <w:tcPr>
            <w:tcW w:w="4077" w:type="dxa"/>
            <w:vMerge/>
            <w:tcBorders>
              <w:top w:val="single" w:sz="4" w:space="0" w:color="000000"/>
              <w:left w:val="single" w:sz="4" w:space="0" w:color="000000"/>
              <w:bottom w:val="single" w:sz="4" w:space="0" w:color="000000"/>
              <w:right w:val="single" w:sz="4" w:space="0" w:color="000000"/>
            </w:tcBorders>
            <w:shd w:val="clear" w:color="auto" w:fill="auto"/>
          </w:tcPr>
          <w:p w14:paraId="46B6AABC" w14:textId="77777777" w:rsidR="00F4078D" w:rsidRPr="001D47E1" w:rsidRDefault="00F4078D">
            <w:pPr>
              <w:rPr>
                <w:rFonts w:ascii="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0BFE4" w14:textId="77777777" w:rsidR="00F4078D" w:rsidRPr="001D47E1" w:rsidRDefault="00DE3225">
            <w:pPr>
              <w:tabs>
                <w:tab w:val="left" w:pos="851"/>
              </w:tabs>
              <w:spacing w:after="0" w:line="240" w:lineRule="auto"/>
              <w:jc w:val="center"/>
              <w:rPr>
                <w:rFonts w:ascii="Times New Roman" w:hAnsi="Times New Roman" w:cs="Times New Roman"/>
                <w:lang w:val="en-US"/>
              </w:rPr>
            </w:pPr>
            <w:r w:rsidRPr="001D47E1">
              <w:rPr>
                <w:rFonts w:ascii="Times New Roman" w:hAnsi="Times New Roman" w:cs="Times New Roman"/>
                <w:b/>
                <w:bCs/>
                <w:i/>
                <w:iCs/>
                <w:sz w:val="20"/>
                <w:szCs w:val="20"/>
                <w:lang w:val="en-US"/>
              </w:rPr>
              <w:t>Initially on GEBD therapy (n = 17)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E869D" w14:textId="77777777" w:rsidR="00F4078D" w:rsidRPr="001D47E1" w:rsidRDefault="00DE3225">
            <w:pPr>
              <w:tabs>
                <w:tab w:val="left" w:pos="851"/>
              </w:tabs>
              <w:spacing w:after="0" w:line="240" w:lineRule="auto"/>
              <w:jc w:val="center"/>
              <w:rPr>
                <w:rFonts w:ascii="Times New Roman" w:hAnsi="Times New Roman" w:cs="Times New Roman"/>
                <w:lang w:val="en-US"/>
              </w:rPr>
            </w:pPr>
            <w:r w:rsidRPr="001D47E1">
              <w:rPr>
                <w:rFonts w:ascii="Times New Roman" w:hAnsi="Times New Roman" w:cs="Times New Roman"/>
                <w:b/>
                <w:bCs/>
                <w:i/>
                <w:iCs/>
                <w:sz w:val="20"/>
                <w:szCs w:val="20"/>
                <w:lang w:val="en-US"/>
              </w:rPr>
              <w:t>Initially without GEBD therapy (n = 8)</w:t>
            </w: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14:paraId="07CF0763" w14:textId="77777777" w:rsidR="00F4078D" w:rsidRPr="001D47E1" w:rsidRDefault="00F4078D">
            <w:pPr>
              <w:rPr>
                <w:rFonts w:ascii="Times New Roman" w:hAnsi="Times New Roman" w:cs="Times New Roman"/>
                <w:lang w:val="en-US"/>
              </w:rPr>
            </w:pPr>
          </w:p>
        </w:tc>
      </w:tr>
      <w:tr w:rsidR="00F4078D" w:rsidRPr="001D47E1" w14:paraId="222EC4F8" w14:textId="77777777">
        <w:trPr>
          <w:trHeight w:val="89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13DAF" w14:textId="77777777" w:rsidR="00F4078D" w:rsidRPr="001D47E1" w:rsidRDefault="00DE3225">
            <w:pPr>
              <w:pStyle w:val="1"/>
              <w:spacing w:after="0" w:line="240" w:lineRule="auto"/>
              <w:rPr>
                <w:rFonts w:ascii="Times New Roman" w:eastAsia="Times New Roman" w:hAnsi="Times New Roman" w:cs="Times New Roman"/>
                <w:sz w:val="20"/>
                <w:szCs w:val="20"/>
              </w:rPr>
            </w:pPr>
            <w:r w:rsidRPr="001D47E1">
              <w:rPr>
                <w:rFonts w:ascii="Times New Roman" w:hAnsi="Times New Roman" w:cs="Times New Roman"/>
                <w:sz w:val="20"/>
                <w:szCs w:val="20"/>
                <w:lang w:val="en-US"/>
              </w:rPr>
              <w:t>Anti</w:t>
            </w:r>
            <w:r w:rsidRPr="001D47E1">
              <w:rPr>
                <w:rFonts w:ascii="Times New Roman" w:hAnsi="Times New Roman" w:cs="Times New Roman"/>
                <w:sz w:val="20"/>
                <w:szCs w:val="20"/>
              </w:rPr>
              <w:t xml:space="preserve">-SPP </w:t>
            </w:r>
            <w:proofErr w:type="spellStart"/>
            <w:r w:rsidRPr="001D47E1">
              <w:rPr>
                <w:rFonts w:ascii="Times New Roman" w:hAnsi="Times New Roman" w:cs="Times New Roman"/>
                <w:sz w:val="20"/>
                <w:szCs w:val="20"/>
              </w:rPr>
              <w:t>IgG</w:t>
            </w:r>
            <w:proofErr w:type="spellEnd"/>
            <w:r w:rsidRPr="001D47E1">
              <w:rPr>
                <w:rFonts w:ascii="Times New Roman" w:hAnsi="Times New Roman" w:cs="Times New Roman"/>
                <w:sz w:val="20"/>
                <w:szCs w:val="20"/>
              </w:rPr>
              <w:t xml:space="preserve">, </w:t>
            </w:r>
            <w:r w:rsidRPr="001D47E1">
              <w:rPr>
                <w:rFonts w:ascii="Times New Roman" w:hAnsi="Times New Roman" w:cs="Times New Roman"/>
                <w:sz w:val="20"/>
                <w:szCs w:val="20"/>
                <w:lang w:val="en-US"/>
              </w:rPr>
              <w:t>U</w:t>
            </w:r>
            <w:r w:rsidRPr="001D47E1">
              <w:rPr>
                <w:rFonts w:ascii="Times New Roman" w:hAnsi="Times New Roman" w:cs="Times New Roman"/>
                <w:sz w:val="20"/>
                <w:szCs w:val="20"/>
              </w:rPr>
              <w:t>/</w:t>
            </w:r>
            <w:r w:rsidRPr="001D47E1">
              <w:rPr>
                <w:rFonts w:ascii="Times New Roman" w:hAnsi="Times New Roman" w:cs="Times New Roman"/>
                <w:sz w:val="20"/>
                <w:szCs w:val="20"/>
                <w:lang w:val="en-US"/>
              </w:rPr>
              <w:t>l</w:t>
            </w:r>
          </w:p>
          <w:p w14:paraId="39A831B3" w14:textId="77777777" w:rsidR="00F4078D" w:rsidRPr="001D47E1" w:rsidRDefault="00DE3225">
            <w:pPr>
              <w:pStyle w:val="1"/>
              <w:numPr>
                <w:ilvl w:val="0"/>
                <w:numId w:val="9"/>
              </w:numPr>
              <w:spacing w:after="0" w:line="240" w:lineRule="auto"/>
              <w:rPr>
                <w:rFonts w:ascii="Times New Roman" w:hAnsi="Times New Roman" w:cs="Times New Roman"/>
                <w:sz w:val="20"/>
                <w:szCs w:val="20"/>
                <w:lang w:val="en-US"/>
              </w:rPr>
            </w:pPr>
            <w:r w:rsidRPr="001D47E1">
              <w:rPr>
                <w:rFonts w:ascii="Times New Roman" w:hAnsi="Times New Roman" w:cs="Times New Roman"/>
                <w:sz w:val="20"/>
                <w:szCs w:val="20"/>
                <w:lang w:val="en-US"/>
              </w:rPr>
              <w:t>initially</w:t>
            </w:r>
          </w:p>
          <w:p w14:paraId="048772AD" w14:textId="77777777" w:rsidR="00F4078D" w:rsidRPr="001D47E1" w:rsidRDefault="00DE3225">
            <w:pPr>
              <w:pStyle w:val="1"/>
              <w:numPr>
                <w:ilvl w:val="0"/>
                <w:numId w:val="9"/>
              </w:numPr>
              <w:spacing w:after="0" w:line="240" w:lineRule="auto"/>
              <w:rPr>
                <w:rFonts w:ascii="Times New Roman" w:hAnsi="Times New Roman" w:cs="Times New Roman"/>
                <w:sz w:val="20"/>
                <w:szCs w:val="20"/>
                <w:lang w:val="en-US"/>
              </w:rPr>
            </w:pPr>
            <w:r w:rsidRPr="001D47E1">
              <w:rPr>
                <w:rFonts w:ascii="Times New Roman" w:hAnsi="Times New Roman" w:cs="Times New Roman"/>
                <w:sz w:val="20"/>
                <w:szCs w:val="20"/>
                <w:lang w:val="en-US"/>
              </w:rPr>
              <w:t xml:space="preserve">in </w:t>
            </w:r>
            <w:r w:rsidRPr="001D47E1">
              <w:rPr>
                <w:rFonts w:ascii="Times New Roman" w:hAnsi="Times New Roman" w:cs="Times New Roman"/>
                <w:sz w:val="20"/>
                <w:szCs w:val="20"/>
              </w:rPr>
              <w:t>4 </w:t>
            </w:r>
            <w:r w:rsidRPr="001D47E1">
              <w:rPr>
                <w:rFonts w:ascii="Times New Roman" w:hAnsi="Times New Roman" w:cs="Times New Roman"/>
                <w:sz w:val="20"/>
                <w:szCs w:val="20"/>
                <w:lang w:val="en-US"/>
              </w:rPr>
              <w:t>weeks</w:t>
            </w:r>
          </w:p>
          <w:p w14:paraId="5B4717BC" w14:textId="77777777" w:rsidR="00F4078D" w:rsidRPr="001D47E1" w:rsidRDefault="00DE3225" w:rsidP="001D47E1">
            <w:pPr>
              <w:pStyle w:val="1"/>
              <w:numPr>
                <w:ilvl w:val="0"/>
                <w:numId w:val="9"/>
              </w:numPr>
              <w:spacing w:after="0" w:line="240" w:lineRule="auto"/>
              <w:rPr>
                <w:rFonts w:ascii="Times New Roman" w:hAnsi="Times New Roman" w:cs="Times New Roman"/>
                <w:sz w:val="20"/>
                <w:szCs w:val="20"/>
                <w:lang w:val="en-US"/>
              </w:rPr>
            </w:pPr>
            <w:r w:rsidRPr="001D47E1">
              <w:rPr>
                <w:rFonts w:ascii="Times New Roman" w:hAnsi="Times New Roman" w:cs="Times New Roman"/>
                <w:sz w:val="20"/>
                <w:szCs w:val="20"/>
                <w:lang w:val="en-US"/>
              </w:rPr>
              <w:t xml:space="preserve">ratio </w:t>
            </w:r>
            <w:r w:rsidRPr="001D47E1">
              <w:rPr>
                <w:rFonts w:ascii="Times New Roman" w:hAnsi="Times New Roman" w:cs="Times New Roman"/>
                <w:sz w:val="20"/>
                <w:szCs w:val="20"/>
              </w:rPr>
              <w:t xml:space="preserve">(95% </w:t>
            </w:r>
            <w:r w:rsidR="001D47E1" w:rsidRPr="001D47E1">
              <w:rPr>
                <w:rFonts w:ascii="Times New Roman" w:hAnsi="Times New Roman" w:cs="Times New Roman"/>
                <w:sz w:val="20"/>
                <w:szCs w:val="20"/>
                <w:lang w:val="en-US"/>
              </w:rPr>
              <w:t>CI</w:t>
            </w:r>
            <w:r w:rsidRPr="001D47E1">
              <w:rPr>
                <w:rFonts w:ascii="Times New Roman" w:hAnsi="Times New Roman" w:cs="Times New Roman"/>
                <w:sz w:val="20"/>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66CAD" w14:textId="77777777" w:rsidR="00F4078D" w:rsidRPr="001D47E1" w:rsidRDefault="00F4078D">
            <w:pPr>
              <w:pStyle w:val="1"/>
              <w:spacing w:after="0" w:line="240" w:lineRule="auto"/>
              <w:jc w:val="center"/>
              <w:rPr>
                <w:rFonts w:ascii="Times New Roman" w:eastAsia="Times New Roman" w:hAnsi="Times New Roman" w:cs="Times New Roman"/>
                <w:sz w:val="20"/>
                <w:szCs w:val="20"/>
              </w:rPr>
            </w:pPr>
          </w:p>
          <w:p w14:paraId="6163F978"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7,4 (3,1)</w:t>
            </w:r>
          </w:p>
          <w:p w14:paraId="53665B84"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31,5 (3,3)</w:t>
            </w:r>
          </w:p>
          <w:p w14:paraId="18D1B883" w14:textId="77777777" w:rsidR="00F4078D" w:rsidRPr="001D47E1" w:rsidRDefault="00DE3225">
            <w:pPr>
              <w:pStyle w:val="1"/>
              <w:spacing w:after="0" w:line="240" w:lineRule="auto"/>
              <w:jc w:val="center"/>
              <w:rPr>
                <w:rFonts w:ascii="Times New Roman" w:hAnsi="Times New Roman" w:cs="Times New Roman"/>
              </w:rPr>
            </w:pPr>
            <w:r w:rsidRPr="001D47E1">
              <w:rPr>
                <w:rFonts w:ascii="Times New Roman" w:hAnsi="Times New Roman" w:cs="Times New Roman"/>
                <w:sz w:val="20"/>
                <w:szCs w:val="20"/>
              </w:rPr>
              <w:t>4,5 (2,4–8,3)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04019" w14:textId="77777777" w:rsidR="00F4078D" w:rsidRPr="001D47E1" w:rsidRDefault="00F4078D">
            <w:pPr>
              <w:pStyle w:val="1"/>
              <w:spacing w:after="0" w:line="240" w:lineRule="auto"/>
              <w:jc w:val="center"/>
              <w:rPr>
                <w:rFonts w:ascii="Times New Roman" w:eastAsia="Times New Roman" w:hAnsi="Times New Roman" w:cs="Times New Roman"/>
                <w:sz w:val="20"/>
                <w:szCs w:val="20"/>
              </w:rPr>
            </w:pPr>
          </w:p>
          <w:p w14:paraId="5EC7D5FF"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27,2 (2,5)</w:t>
            </w:r>
          </w:p>
          <w:p w14:paraId="33698C73"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124,2 (1,7)</w:t>
            </w:r>
          </w:p>
          <w:p w14:paraId="733DF86F" w14:textId="77777777" w:rsidR="00F4078D" w:rsidRPr="001D47E1" w:rsidRDefault="00DE3225">
            <w:pPr>
              <w:pStyle w:val="1"/>
              <w:spacing w:after="0" w:line="240" w:lineRule="auto"/>
              <w:jc w:val="center"/>
              <w:rPr>
                <w:rFonts w:ascii="Times New Roman" w:hAnsi="Times New Roman" w:cs="Times New Roman"/>
              </w:rPr>
            </w:pPr>
            <w:r w:rsidRPr="001D47E1">
              <w:rPr>
                <w:rFonts w:ascii="Times New Roman" w:hAnsi="Times New Roman" w:cs="Times New Roman"/>
                <w:sz w:val="20"/>
                <w:szCs w:val="20"/>
              </w:rPr>
              <w:t>4,6 (2,1–10,3)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0A04E" w14:textId="77777777" w:rsidR="00F4078D" w:rsidRPr="001D47E1" w:rsidRDefault="00F4078D">
            <w:pPr>
              <w:pStyle w:val="1"/>
              <w:spacing w:after="0" w:line="240" w:lineRule="auto"/>
              <w:jc w:val="center"/>
              <w:rPr>
                <w:rFonts w:ascii="Times New Roman" w:eastAsia="Times New Roman" w:hAnsi="Times New Roman" w:cs="Times New Roman"/>
                <w:sz w:val="20"/>
                <w:szCs w:val="20"/>
              </w:rPr>
            </w:pPr>
          </w:p>
          <w:p w14:paraId="1AC28C0E"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0,013</w:t>
            </w:r>
          </w:p>
          <w:p w14:paraId="3483C602" w14:textId="77777777" w:rsidR="00F4078D" w:rsidRPr="001D47E1" w:rsidRDefault="00DE3225">
            <w:pPr>
              <w:pStyle w:val="1"/>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0,001</w:t>
            </w:r>
          </w:p>
          <w:p w14:paraId="3E501B29" w14:textId="77777777" w:rsidR="00F4078D" w:rsidRPr="001D47E1" w:rsidRDefault="00DE3225">
            <w:pPr>
              <w:pStyle w:val="1"/>
              <w:spacing w:after="0" w:line="240" w:lineRule="auto"/>
              <w:jc w:val="center"/>
              <w:rPr>
                <w:rFonts w:ascii="Times New Roman" w:hAnsi="Times New Roman" w:cs="Times New Roman"/>
              </w:rPr>
            </w:pPr>
            <w:r w:rsidRPr="001D47E1">
              <w:rPr>
                <w:rFonts w:ascii="Times New Roman" w:hAnsi="Times New Roman" w:cs="Times New Roman"/>
                <w:sz w:val="20"/>
                <w:szCs w:val="20"/>
              </w:rPr>
              <w:t>0,967</w:t>
            </w:r>
          </w:p>
        </w:tc>
      </w:tr>
      <w:tr w:rsidR="00F4078D" w:rsidRPr="001D47E1" w14:paraId="4E1AF127" w14:textId="77777777">
        <w:trPr>
          <w:trHeight w:val="67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2619" w14:textId="77777777" w:rsidR="00F4078D" w:rsidRPr="001D47E1" w:rsidRDefault="00DE3225">
            <w:pPr>
              <w:spacing w:after="0" w:line="240" w:lineRule="auto"/>
              <w:jc w:val="both"/>
              <w:rPr>
                <w:rFonts w:ascii="Times New Roman" w:eastAsia="Times New Roman" w:hAnsi="Times New Roman" w:cs="Times New Roman"/>
                <w:sz w:val="20"/>
                <w:szCs w:val="20"/>
              </w:rPr>
            </w:pPr>
            <w:r w:rsidRPr="001D47E1">
              <w:rPr>
                <w:rFonts w:ascii="Times New Roman" w:hAnsi="Times New Roman" w:cs="Times New Roman"/>
                <w:sz w:val="20"/>
                <w:szCs w:val="20"/>
                <w:lang w:val="en-US"/>
              </w:rPr>
              <w:t xml:space="preserve">Anti-SPP IgG ≥ 7 U/ml, abs. </w:t>
            </w:r>
            <w:r w:rsidRPr="001D47E1">
              <w:rPr>
                <w:rFonts w:ascii="Times New Roman" w:hAnsi="Times New Roman" w:cs="Times New Roman"/>
                <w:sz w:val="20"/>
                <w:szCs w:val="20"/>
              </w:rPr>
              <w:t>(%)</w:t>
            </w:r>
          </w:p>
          <w:p w14:paraId="7F8D7C46" w14:textId="77777777" w:rsidR="00F4078D" w:rsidRPr="001D47E1" w:rsidRDefault="00DE3225">
            <w:pPr>
              <w:numPr>
                <w:ilvl w:val="0"/>
                <w:numId w:val="10"/>
              </w:numPr>
              <w:spacing w:after="0" w:line="240" w:lineRule="auto"/>
              <w:jc w:val="both"/>
              <w:rPr>
                <w:rFonts w:ascii="Times New Roman" w:hAnsi="Times New Roman" w:cs="Times New Roman"/>
                <w:sz w:val="20"/>
                <w:szCs w:val="20"/>
                <w:lang w:val="en-US"/>
              </w:rPr>
            </w:pPr>
            <w:r w:rsidRPr="001D47E1">
              <w:rPr>
                <w:rFonts w:ascii="Times New Roman" w:hAnsi="Times New Roman" w:cs="Times New Roman"/>
                <w:sz w:val="20"/>
                <w:szCs w:val="20"/>
                <w:lang w:val="en-US"/>
              </w:rPr>
              <w:t>initially</w:t>
            </w:r>
          </w:p>
          <w:p w14:paraId="71E5788C" w14:textId="77777777" w:rsidR="00F4078D" w:rsidRPr="001D47E1" w:rsidRDefault="00DE3225">
            <w:pPr>
              <w:numPr>
                <w:ilvl w:val="0"/>
                <w:numId w:val="10"/>
              </w:numPr>
              <w:spacing w:after="0" w:line="240" w:lineRule="auto"/>
              <w:jc w:val="both"/>
              <w:rPr>
                <w:rFonts w:ascii="Times New Roman" w:hAnsi="Times New Roman" w:cs="Times New Roman"/>
                <w:sz w:val="20"/>
                <w:szCs w:val="20"/>
                <w:lang w:val="en-US"/>
              </w:rPr>
            </w:pPr>
            <w:r w:rsidRPr="001D47E1">
              <w:rPr>
                <w:rFonts w:ascii="Times New Roman" w:hAnsi="Times New Roman" w:cs="Times New Roman"/>
                <w:sz w:val="20"/>
                <w:szCs w:val="20"/>
                <w:lang w:val="en-US"/>
              </w:rPr>
              <w:t>in</w:t>
            </w:r>
            <w:r w:rsidRPr="001D47E1">
              <w:rPr>
                <w:rFonts w:ascii="Times New Roman" w:hAnsi="Times New Roman" w:cs="Times New Roman"/>
                <w:sz w:val="20"/>
                <w:szCs w:val="20"/>
              </w:rPr>
              <w:t xml:space="preserve"> 4 </w:t>
            </w:r>
            <w:r w:rsidRPr="001D47E1">
              <w:rPr>
                <w:rFonts w:ascii="Times New Roman" w:hAnsi="Times New Roman" w:cs="Times New Roman"/>
                <w:sz w:val="20"/>
                <w:szCs w:val="20"/>
                <w:lang w:val="en-US"/>
              </w:rPr>
              <w:t>weeks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E7B17" w14:textId="77777777" w:rsidR="00F4078D" w:rsidRPr="001D47E1" w:rsidRDefault="00F4078D">
            <w:pPr>
              <w:spacing w:after="0" w:line="240" w:lineRule="auto"/>
              <w:jc w:val="center"/>
              <w:rPr>
                <w:rFonts w:ascii="Times New Roman" w:eastAsia="Times New Roman" w:hAnsi="Times New Roman" w:cs="Times New Roman"/>
                <w:sz w:val="20"/>
                <w:szCs w:val="20"/>
              </w:rPr>
            </w:pPr>
          </w:p>
          <w:p w14:paraId="5CD4C7F1"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8 (47)</w:t>
            </w:r>
          </w:p>
          <w:p w14:paraId="6A07574B"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14 (82)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CC3EB" w14:textId="77777777" w:rsidR="00F4078D" w:rsidRPr="001D47E1" w:rsidRDefault="00F4078D">
            <w:pPr>
              <w:spacing w:after="0" w:line="240" w:lineRule="auto"/>
              <w:jc w:val="center"/>
              <w:rPr>
                <w:rFonts w:ascii="Times New Roman" w:eastAsia="Times New Roman" w:hAnsi="Times New Roman" w:cs="Times New Roman"/>
                <w:sz w:val="20"/>
                <w:szCs w:val="20"/>
              </w:rPr>
            </w:pPr>
          </w:p>
          <w:p w14:paraId="1CE4E8E3"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8 (100)</w:t>
            </w:r>
          </w:p>
          <w:p w14:paraId="14C71021"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8 (100)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2764A" w14:textId="77777777" w:rsidR="00F4078D" w:rsidRPr="001D47E1" w:rsidRDefault="00F4078D">
            <w:pPr>
              <w:spacing w:after="0" w:line="240" w:lineRule="auto"/>
              <w:jc w:val="center"/>
              <w:rPr>
                <w:rFonts w:ascii="Times New Roman" w:eastAsia="Times New Roman" w:hAnsi="Times New Roman" w:cs="Times New Roman"/>
                <w:sz w:val="20"/>
                <w:szCs w:val="20"/>
              </w:rPr>
            </w:pPr>
          </w:p>
          <w:p w14:paraId="4640C67B" w14:textId="77777777" w:rsidR="00F4078D" w:rsidRPr="001D47E1" w:rsidRDefault="00DE3225">
            <w:pPr>
              <w:spacing w:after="0" w:line="240" w:lineRule="auto"/>
              <w:jc w:val="center"/>
              <w:rPr>
                <w:rFonts w:ascii="Times New Roman" w:eastAsia="Times New Roman" w:hAnsi="Times New Roman" w:cs="Times New Roman"/>
                <w:sz w:val="20"/>
                <w:szCs w:val="20"/>
              </w:rPr>
            </w:pPr>
            <w:r w:rsidRPr="001D47E1">
              <w:rPr>
                <w:rFonts w:ascii="Times New Roman" w:hAnsi="Times New Roman" w:cs="Times New Roman"/>
                <w:sz w:val="20"/>
                <w:szCs w:val="20"/>
              </w:rPr>
              <w:t>0,022</w:t>
            </w:r>
          </w:p>
          <w:p w14:paraId="3E0B2F1B" w14:textId="77777777" w:rsidR="00F4078D" w:rsidRPr="001D47E1" w:rsidRDefault="00DE3225">
            <w:pPr>
              <w:spacing w:after="0" w:line="240" w:lineRule="auto"/>
              <w:jc w:val="center"/>
              <w:rPr>
                <w:rFonts w:ascii="Times New Roman" w:hAnsi="Times New Roman" w:cs="Times New Roman"/>
              </w:rPr>
            </w:pPr>
            <w:r w:rsidRPr="001D47E1">
              <w:rPr>
                <w:rFonts w:ascii="Times New Roman" w:hAnsi="Times New Roman" w:cs="Times New Roman"/>
                <w:sz w:val="20"/>
                <w:szCs w:val="20"/>
              </w:rPr>
              <w:t>0,527</w:t>
            </w:r>
          </w:p>
        </w:tc>
      </w:tr>
      <w:tr w:rsidR="00F4078D" w:rsidRPr="001D47E1" w14:paraId="481655EE" w14:textId="77777777">
        <w:trPr>
          <w:trHeight w:val="23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256E8" w14:textId="77777777" w:rsidR="00F4078D" w:rsidRPr="001D47E1" w:rsidRDefault="00DE3225">
            <w:pPr>
              <w:tabs>
                <w:tab w:val="left" w:pos="851"/>
              </w:tabs>
              <w:spacing w:after="0" w:line="240" w:lineRule="auto"/>
              <w:jc w:val="both"/>
              <w:rPr>
                <w:rFonts w:ascii="Times New Roman" w:hAnsi="Times New Roman" w:cs="Times New Roman"/>
              </w:rPr>
            </w:pPr>
            <w:r w:rsidRPr="001D47E1">
              <w:rPr>
                <w:rFonts w:ascii="Times New Roman" w:hAnsi="Times New Roman" w:cs="Times New Roman"/>
                <w:sz w:val="20"/>
                <w:szCs w:val="20"/>
                <w:lang w:val="en-US"/>
              </w:rPr>
              <w:t xml:space="preserve">Anti-SPP IgG ≥ 2 times (in 4 weeks), abs. </w:t>
            </w:r>
            <w:r w:rsidRPr="001D47E1">
              <w:rPr>
                <w:rFonts w:ascii="Times New Roman" w:hAnsi="Times New Roman" w:cs="Times New Roman"/>
                <w:sz w:val="20"/>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CF825" w14:textId="77777777" w:rsidR="00F4078D" w:rsidRPr="001D47E1" w:rsidRDefault="00DE3225">
            <w:pPr>
              <w:tabs>
                <w:tab w:val="left" w:pos="851"/>
              </w:tabs>
              <w:spacing w:after="0" w:line="240" w:lineRule="auto"/>
              <w:jc w:val="center"/>
              <w:rPr>
                <w:rFonts w:ascii="Times New Roman" w:hAnsi="Times New Roman" w:cs="Times New Roman"/>
              </w:rPr>
            </w:pPr>
            <w:r w:rsidRPr="001D47E1">
              <w:rPr>
                <w:rFonts w:ascii="Times New Roman" w:hAnsi="Times New Roman" w:cs="Times New Roman"/>
                <w:sz w:val="20"/>
                <w:szCs w:val="20"/>
              </w:rPr>
              <w:t>12 (71)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872A4" w14:textId="77777777" w:rsidR="00F4078D" w:rsidRPr="001D47E1" w:rsidRDefault="00DE3225">
            <w:pPr>
              <w:tabs>
                <w:tab w:val="left" w:pos="851"/>
              </w:tabs>
              <w:spacing w:after="0" w:line="240" w:lineRule="auto"/>
              <w:jc w:val="center"/>
              <w:rPr>
                <w:rFonts w:ascii="Times New Roman" w:hAnsi="Times New Roman" w:cs="Times New Roman"/>
              </w:rPr>
            </w:pPr>
            <w:r w:rsidRPr="001D47E1">
              <w:rPr>
                <w:rFonts w:ascii="Times New Roman" w:hAnsi="Times New Roman" w:cs="Times New Roman"/>
                <w:sz w:val="20"/>
                <w:szCs w:val="20"/>
              </w:rPr>
              <w:t>6 (75)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2D732" w14:textId="77777777" w:rsidR="00F4078D" w:rsidRPr="001D47E1" w:rsidRDefault="00DE3225">
            <w:pPr>
              <w:tabs>
                <w:tab w:val="left" w:pos="851"/>
              </w:tabs>
              <w:spacing w:after="0" w:line="240" w:lineRule="auto"/>
              <w:jc w:val="center"/>
              <w:rPr>
                <w:rFonts w:ascii="Times New Roman" w:hAnsi="Times New Roman" w:cs="Times New Roman"/>
              </w:rPr>
            </w:pPr>
            <w:r w:rsidRPr="001D47E1">
              <w:rPr>
                <w:rFonts w:ascii="Times New Roman" w:hAnsi="Times New Roman" w:cs="Times New Roman"/>
                <w:sz w:val="20"/>
                <w:szCs w:val="20"/>
              </w:rPr>
              <w:t>1,000</w:t>
            </w:r>
          </w:p>
        </w:tc>
      </w:tr>
    </w:tbl>
    <w:p w14:paraId="1BEB7137" w14:textId="77777777" w:rsidR="00F4078D" w:rsidRPr="001D47E1" w:rsidRDefault="00DE3225">
      <w:pPr>
        <w:pStyle w:val="a5"/>
        <w:jc w:val="both"/>
        <w:rPr>
          <w:sz w:val="22"/>
          <w:lang w:val="en-US"/>
        </w:rPr>
      </w:pPr>
      <w:r w:rsidRPr="006C5A99">
        <w:rPr>
          <w:bCs/>
          <w:i/>
          <w:iCs/>
          <w:sz w:val="20"/>
          <w:szCs w:val="20"/>
          <w:lang w:val="en-US"/>
        </w:rPr>
        <w:t>Note</w:t>
      </w:r>
      <w:r w:rsidRPr="006C5A99">
        <w:rPr>
          <w:sz w:val="20"/>
          <w:szCs w:val="20"/>
          <w:lang w:val="en-US"/>
        </w:rPr>
        <w:t>.</w:t>
      </w:r>
      <w:r w:rsidRPr="00567F27">
        <w:rPr>
          <w:sz w:val="20"/>
          <w:szCs w:val="20"/>
          <w:lang w:val="en-US"/>
        </w:rPr>
        <w:t xml:space="preserve"> The quantitative indicators were described with mean geometric value and (for anti-SPP IgG concentration) standard deviation (in brackets).</w:t>
      </w:r>
    </w:p>
    <w:p w14:paraId="32631815" w14:textId="77777777" w:rsidR="00F4078D" w:rsidRPr="00567F27" w:rsidRDefault="00F4078D">
      <w:pPr>
        <w:widowControl w:val="0"/>
        <w:spacing w:after="0" w:line="240" w:lineRule="auto"/>
        <w:jc w:val="both"/>
        <w:rPr>
          <w:rFonts w:ascii="Times New Roman" w:eastAsia="Times New Roman" w:hAnsi="Times New Roman" w:cs="Times New Roman"/>
          <w:sz w:val="24"/>
          <w:szCs w:val="24"/>
          <w:lang w:val="en-US"/>
        </w:rPr>
      </w:pPr>
    </w:p>
    <w:p w14:paraId="1E9FB3F3" w14:textId="77777777" w:rsidR="00F4078D" w:rsidRPr="00567F27" w:rsidRDefault="001D47E1">
      <w:pPr>
        <w:widowControl w:val="0"/>
        <w:spacing w:after="0" w:line="24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STUDY</w:t>
      </w:r>
      <w:r w:rsidR="00DE3225" w:rsidRPr="00567F27">
        <w:rPr>
          <w:rFonts w:ascii="Times New Roman" w:hAnsi="Times New Roman"/>
          <w:b/>
          <w:bCs/>
          <w:sz w:val="24"/>
          <w:szCs w:val="24"/>
          <w:lang w:val="en-US"/>
        </w:rPr>
        <w:t xml:space="preserve"> </w:t>
      </w:r>
      <w:r>
        <w:rPr>
          <w:rFonts w:ascii="Times New Roman" w:hAnsi="Times New Roman"/>
          <w:b/>
          <w:bCs/>
          <w:sz w:val="24"/>
          <w:szCs w:val="24"/>
          <w:lang w:val="en-US"/>
        </w:rPr>
        <w:t>LIMITATIONS</w:t>
      </w:r>
    </w:p>
    <w:p w14:paraId="6FC72E57" w14:textId="77777777" w:rsidR="00F4078D" w:rsidRPr="00567F27" w:rsidRDefault="00DE3225">
      <w:pPr>
        <w:widowControl w:val="0"/>
        <w:spacing w:after="0" w:line="240" w:lineRule="auto"/>
        <w:jc w:val="both"/>
        <w:rPr>
          <w:rFonts w:ascii="Times New Roman" w:eastAsia="Times New Roman" w:hAnsi="Times New Roman" w:cs="Times New Roman"/>
          <w:sz w:val="24"/>
          <w:szCs w:val="24"/>
          <w:lang w:val="en-US"/>
        </w:rPr>
      </w:pPr>
      <w:r w:rsidRPr="00567F27">
        <w:rPr>
          <w:rFonts w:ascii="Times New Roman" w:hAnsi="Times New Roman"/>
          <w:sz w:val="24"/>
          <w:szCs w:val="24"/>
          <w:lang w:val="en-US"/>
        </w:rPr>
        <w:t xml:space="preserve">It is not possible to clearly estimate the comparability of the sample in the present study with the general population of SJIA patients receiving GEBD and, accordingly, the generalizability of the PCV-13 vaccination results. Although, there is the register of patients with SJIA [20] in Russia, any special analysis (description) of the </w:t>
      </w:r>
      <w:proofErr w:type="gramStart"/>
      <w:r w:rsidRPr="00567F27">
        <w:rPr>
          <w:rFonts w:ascii="Times New Roman" w:hAnsi="Times New Roman"/>
          <w:sz w:val="24"/>
          <w:szCs w:val="24"/>
          <w:lang w:val="en-US"/>
        </w:rPr>
        <w:t>patients</w:t>
      </w:r>
      <w:proofErr w:type="gramEnd"/>
      <w:r w:rsidRPr="00567F27">
        <w:rPr>
          <w:rFonts w:ascii="Times New Roman" w:hAnsi="Times New Roman"/>
          <w:sz w:val="24"/>
          <w:szCs w:val="24"/>
          <w:lang w:val="en-US"/>
        </w:rPr>
        <w:t xml:space="preserve"> subgroup receiving GEBD has not been performed previously.</w:t>
      </w:r>
    </w:p>
    <w:p w14:paraId="4749C13B" w14:textId="77777777" w:rsidR="00F4078D" w:rsidRPr="00567F27" w:rsidRDefault="00DE3225">
      <w:pPr>
        <w:pStyle w:val="1"/>
        <w:spacing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There were two parameters of the immune protection in this study: the minimum protective anti-SPP IgG level and its two-fold increase in 4 weeks after vaccination. Both outcomes can be used as endpoints for vaccine’s</w:t>
      </w:r>
      <w:r w:rsidRPr="00567F27">
        <w:rPr>
          <w:rFonts w:ascii="Times New Roman" w:hAnsi="Times New Roman"/>
          <w:sz w:val="24"/>
          <w:szCs w:val="24"/>
          <w:lang w:val="en-US"/>
        </w:rPr>
        <w:t xml:space="preserve"> </w:t>
      </w:r>
      <w:r>
        <w:rPr>
          <w:rFonts w:ascii="Times New Roman" w:hAnsi="Times New Roman"/>
          <w:sz w:val="24"/>
          <w:szCs w:val="24"/>
          <w:lang w:val="en-US"/>
        </w:rPr>
        <w:t>immunological potency studies [21]. However, it is still</w:t>
      </w:r>
      <w:r w:rsidRPr="00567F27">
        <w:rPr>
          <w:rFonts w:ascii="Times New Roman" w:hAnsi="Times New Roman"/>
          <w:sz w:val="24"/>
          <w:szCs w:val="24"/>
          <w:lang w:val="en-US"/>
        </w:rPr>
        <w:t xml:space="preserve"> </w:t>
      </w:r>
      <w:r>
        <w:rPr>
          <w:rFonts w:ascii="Times New Roman" w:hAnsi="Times New Roman"/>
          <w:sz w:val="24"/>
          <w:szCs w:val="24"/>
          <w:lang w:val="en-US"/>
        </w:rPr>
        <w:t>unknown whether these outcomes can lead to decrease in the risk of developing of pneumococcal infection in patients with SJIA, although there is no doubt using the example of pneumococcal vaccination of children in the general population</w:t>
      </w:r>
      <w:r w:rsidR="001D47E1">
        <w:rPr>
          <w:rFonts w:ascii="Times New Roman" w:hAnsi="Times New Roman"/>
          <w:sz w:val="24"/>
          <w:szCs w:val="24"/>
          <w:lang w:val="en-US"/>
        </w:rPr>
        <w:t xml:space="preserve"> </w:t>
      </w:r>
      <w:r>
        <w:rPr>
          <w:rFonts w:ascii="Times New Roman" w:hAnsi="Times New Roman"/>
          <w:sz w:val="24"/>
          <w:szCs w:val="24"/>
          <w:lang w:val="en-US"/>
        </w:rPr>
        <w:t>[22]. It should be noted that we did not examine vaccine’s</w:t>
      </w:r>
      <w:r w:rsidRPr="00567F27">
        <w:rPr>
          <w:rFonts w:ascii="Times New Roman" w:hAnsi="Times New Roman"/>
          <w:sz w:val="24"/>
          <w:szCs w:val="24"/>
          <w:lang w:val="en-US"/>
        </w:rPr>
        <w:t xml:space="preserve"> </w:t>
      </w:r>
      <w:r>
        <w:rPr>
          <w:rFonts w:ascii="Times New Roman" w:hAnsi="Times New Roman"/>
          <w:sz w:val="24"/>
          <w:szCs w:val="24"/>
          <w:lang w:val="en-US"/>
        </w:rPr>
        <w:t>immunological potency against specific</w:t>
      </w:r>
      <w:r w:rsidRPr="00567F27">
        <w:rPr>
          <w:rFonts w:ascii="Times New Roman" w:hAnsi="Times New Roman"/>
          <w:sz w:val="24"/>
          <w:szCs w:val="24"/>
          <w:lang w:val="en-US"/>
        </w:rPr>
        <w:t xml:space="preserve"> </w:t>
      </w:r>
      <w:r>
        <w:rPr>
          <w:rFonts w:ascii="Times New Roman" w:hAnsi="Times New Roman"/>
          <w:i/>
          <w:iCs/>
          <w:sz w:val="24"/>
          <w:szCs w:val="24"/>
          <w:lang w:val="it-IT"/>
        </w:rPr>
        <w:t>Streptococcus pneumoniae</w:t>
      </w:r>
      <w:r w:rsidRPr="00567F27">
        <w:rPr>
          <w:rFonts w:ascii="Times New Roman" w:hAnsi="Times New Roman"/>
          <w:sz w:val="24"/>
          <w:szCs w:val="24"/>
          <w:lang w:val="en-US"/>
        </w:rPr>
        <w:t xml:space="preserve"> serotypes</w:t>
      </w:r>
      <w:r>
        <w:rPr>
          <w:rFonts w:ascii="Times New Roman" w:hAnsi="Times New Roman"/>
          <w:sz w:val="24"/>
          <w:szCs w:val="24"/>
          <w:lang w:val="en-US"/>
        </w:rPr>
        <w:t xml:space="preserve"> in the present study</w:t>
      </w:r>
      <w:r w:rsidRPr="00567F27">
        <w:rPr>
          <w:rFonts w:ascii="Times New Roman" w:hAnsi="Times New Roman"/>
          <w:sz w:val="24"/>
          <w:szCs w:val="24"/>
          <w:lang w:val="en-US"/>
        </w:rPr>
        <w:t>.</w:t>
      </w:r>
    </w:p>
    <w:p w14:paraId="7386D790" w14:textId="77777777" w:rsidR="00F4078D" w:rsidRPr="00567F27" w:rsidRDefault="00DE3225">
      <w:pPr>
        <w:pStyle w:val="1"/>
        <w:spacing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reduction of frequency of post-vaccination ARI (and, accordingly, frequency of ARI complications and prescribing antibacterial therapy) may have the following explanations. The efficacy of pneumococcal vaccination was estimated, including ARI cases (with complications), without further investigation of </w:t>
      </w:r>
      <w:r>
        <w:rPr>
          <w:rFonts w:ascii="Times New Roman" w:hAnsi="Times New Roman"/>
          <w:i/>
          <w:iCs/>
          <w:sz w:val="24"/>
          <w:szCs w:val="24"/>
          <w:lang w:val="it-IT"/>
        </w:rPr>
        <w:t>S. pneumoniae</w:t>
      </w:r>
      <w:r>
        <w:rPr>
          <w:rFonts w:ascii="Times New Roman" w:hAnsi="Times New Roman"/>
          <w:sz w:val="24"/>
          <w:szCs w:val="24"/>
          <w:lang w:val="en-US"/>
        </w:rPr>
        <w:t>-induced disease cases. For this reason, it is not possible to clearly</w:t>
      </w:r>
      <w:r w:rsidRPr="00567F27">
        <w:rPr>
          <w:rFonts w:ascii="Times New Roman" w:hAnsi="Times New Roman"/>
          <w:sz w:val="24"/>
          <w:szCs w:val="24"/>
          <w:lang w:val="en-US"/>
        </w:rPr>
        <w:t xml:space="preserve"> </w:t>
      </w:r>
      <w:r>
        <w:rPr>
          <w:rFonts w:ascii="Times New Roman" w:hAnsi="Times New Roman"/>
          <w:sz w:val="24"/>
          <w:szCs w:val="24"/>
          <w:lang w:val="en-US"/>
        </w:rPr>
        <w:t>correlate the fact of vaccination with the decrease in the number of children who underwent ARI within 6 months after vaccination. It should also be noted that for children vaccinated between February and June two or three</w:t>
      </w:r>
      <w:r w:rsidRPr="00567F27">
        <w:rPr>
          <w:rFonts w:ascii="Times New Roman" w:hAnsi="Times New Roman"/>
          <w:sz w:val="24"/>
          <w:szCs w:val="24"/>
          <w:lang w:val="en-US"/>
        </w:rPr>
        <w:t xml:space="preserve"> </w:t>
      </w:r>
      <w:r>
        <w:rPr>
          <w:rFonts w:ascii="Times New Roman" w:hAnsi="Times New Roman"/>
          <w:sz w:val="24"/>
          <w:szCs w:val="24"/>
          <w:lang w:val="en-US"/>
        </w:rPr>
        <w:t>months (out of previous six) were coincide with winter months</w:t>
      </w:r>
      <w:r w:rsidRPr="00567F27">
        <w:rPr>
          <w:rFonts w:ascii="Times New Roman" w:hAnsi="Times New Roman"/>
          <w:sz w:val="24"/>
          <w:szCs w:val="24"/>
          <w:lang w:val="en-US"/>
        </w:rPr>
        <w:t xml:space="preserve"> </w:t>
      </w:r>
      <w:r>
        <w:rPr>
          <w:rFonts w:ascii="Times New Roman" w:hAnsi="Times New Roman"/>
          <w:sz w:val="24"/>
          <w:szCs w:val="24"/>
          <w:lang w:val="en-US"/>
        </w:rPr>
        <w:t>that are unfortunate</w:t>
      </w:r>
      <w:r w:rsidRPr="00567F27">
        <w:rPr>
          <w:rFonts w:ascii="Times New Roman" w:hAnsi="Times New Roman"/>
          <w:sz w:val="24"/>
          <w:szCs w:val="24"/>
          <w:lang w:val="en-US"/>
        </w:rPr>
        <w:t xml:space="preserve"> </w:t>
      </w:r>
      <w:r>
        <w:rPr>
          <w:rFonts w:ascii="Times New Roman" w:hAnsi="Times New Roman"/>
          <w:sz w:val="24"/>
          <w:szCs w:val="24"/>
          <w:lang w:val="en-US"/>
        </w:rPr>
        <w:t>epidemiologically.</w:t>
      </w:r>
      <w:r w:rsidRPr="00567F27">
        <w:rPr>
          <w:rFonts w:ascii="Times New Roman" w:hAnsi="Times New Roman"/>
          <w:sz w:val="24"/>
          <w:szCs w:val="24"/>
          <w:lang w:val="en-US"/>
        </w:rPr>
        <w:t xml:space="preserve"> </w:t>
      </w:r>
      <w:r>
        <w:rPr>
          <w:rFonts w:ascii="Times New Roman" w:hAnsi="Times New Roman"/>
          <w:sz w:val="24"/>
          <w:szCs w:val="24"/>
          <w:lang w:val="en-US"/>
        </w:rPr>
        <w:t>Accordingly, the morbidity</w:t>
      </w:r>
      <w:r w:rsidRPr="00567F27">
        <w:rPr>
          <w:rFonts w:ascii="Times New Roman" w:hAnsi="Times New Roman"/>
          <w:sz w:val="24"/>
          <w:szCs w:val="24"/>
          <w:lang w:val="en-US"/>
        </w:rPr>
        <w:t xml:space="preserve"> </w:t>
      </w:r>
      <w:r>
        <w:rPr>
          <w:rFonts w:ascii="Times New Roman" w:hAnsi="Times New Roman"/>
          <w:sz w:val="24"/>
          <w:szCs w:val="24"/>
          <w:lang w:val="en-US"/>
        </w:rPr>
        <w:t>in such children during previous 6 months should be higher, and in vaccinated in August</w:t>
      </w:r>
      <w:r w:rsidR="001D47E1">
        <w:rPr>
          <w:rFonts w:ascii="Times New Roman" w:hAnsi="Times New Roman" w:cs="Times New Roman"/>
          <w:sz w:val="24"/>
          <w:szCs w:val="24"/>
          <w:lang w:val="en-US"/>
        </w:rPr>
        <w:t>–</w:t>
      </w:r>
      <w:r>
        <w:rPr>
          <w:rFonts w:ascii="Times New Roman" w:hAnsi="Times New Roman"/>
          <w:sz w:val="24"/>
          <w:szCs w:val="24"/>
          <w:lang w:val="en-US"/>
        </w:rPr>
        <w:t>December period</w:t>
      </w:r>
      <w:r w:rsidRPr="00567F27">
        <w:rPr>
          <w:rFonts w:ascii="Times New Roman" w:hAnsi="Times New Roman"/>
          <w:sz w:val="24"/>
          <w:szCs w:val="24"/>
          <w:lang w:val="en-US"/>
        </w:rPr>
        <w:t xml:space="preserve"> </w:t>
      </w:r>
      <w:r>
        <w:rPr>
          <w:rFonts w:ascii="Times New Roman" w:hAnsi="Times New Roman"/>
          <w:sz w:val="24"/>
          <w:szCs w:val="24"/>
          <w:lang w:val="en-US"/>
        </w:rPr>
        <w:t>should be lower than in the next 6 months. In the first case this may be the reason for overestimating the effect of pneumococcal vaccination on the ARI frequency due to the natural negative morbidity dynamics, in the second case the reason is</w:t>
      </w:r>
      <w:r w:rsidRPr="00567F27">
        <w:rPr>
          <w:rFonts w:ascii="Times New Roman" w:hAnsi="Times New Roman"/>
          <w:sz w:val="24"/>
          <w:szCs w:val="24"/>
          <w:lang w:val="en-US"/>
        </w:rPr>
        <w:t xml:space="preserve"> underestimation.</w:t>
      </w:r>
      <w:r>
        <w:rPr>
          <w:rFonts w:ascii="Times New Roman" w:hAnsi="Times New Roman"/>
          <w:sz w:val="24"/>
          <w:szCs w:val="24"/>
          <w:lang w:val="en-US"/>
        </w:rPr>
        <w:t xml:space="preserve"> </w:t>
      </w:r>
      <w:r w:rsidRPr="00567F27">
        <w:rPr>
          <w:rFonts w:ascii="Times New Roman" w:hAnsi="Times New Roman"/>
          <w:sz w:val="24"/>
          <w:szCs w:val="24"/>
          <w:lang w:val="en-US"/>
        </w:rPr>
        <w:t xml:space="preserve">51 (65%) </w:t>
      </w:r>
      <w:r>
        <w:rPr>
          <w:rFonts w:ascii="Times New Roman" w:hAnsi="Times New Roman"/>
          <w:sz w:val="24"/>
          <w:szCs w:val="24"/>
          <w:lang w:val="en-US"/>
        </w:rPr>
        <w:t>out of 78 patients with SJIA i</w:t>
      </w:r>
      <w:r w:rsidRPr="00567F27">
        <w:rPr>
          <w:rFonts w:ascii="Times New Roman" w:hAnsi="Times New Roman"/>
          <w:sz w:val="24"/>
          <w:szCs w:val="24"/>
          <w:lang w:val="en-US"/>
        </w:rPr>
        <w:t xml:space="preserve">n </w:t>
      </w:r>
      <w:r>
        <w:rPr>
          <w:rFonts w:ascii="Times New Roman" w:hAnsi="Times New Roman"/>
          <w:sz w:val="24"/>
          <w:szCs w:val="24"/>
          <w:lang w:val="en-US"/>
        </w:rPr>
        <w:t>this study were vaccinated during the period between February and June, thus, the effect of vaccination on the ARI frequency and related events could be overestimated in the majority of patients included in the study</w:t>
      </w:r>
      <w:r w:rsidRPr="00567F27">
        <w:rPr>
          <w:rFonts w:ascii="Times New Roman" w:hAnsi="Times New Roman"/>
          <w:sz w:val="24"/>
          <w:szCs w:val="24"/>
          <w:lang w:val="en-US"/>
        </w:rPr>
        <w:t>.</w:t>
      </w:r>
    </w:p>
    <w:p w14:paraId="17089511" w14:textId="77777777" w:rsidR="00C62C8B" w:rsidRPr="00C62C8B" w:rsidRDefault="00DE3225" w:rsidP="00C62C8B">
      <w:pPr>
        <w:widowControl w:val="0"/>
        <w:spacing w:after="0" w:line="240" w:lineRule="auto"/>
        <w:jc w:val="both"/>
        <w:rPr>
          <w:rFonts w:ascii="Times New Roman" w:hAnsi="Times New Roman"/>
          <w:bCs/>
          <w:sz w:val="24"/>
          <w:szCs w:val="24"/>
          <w:lang w:val="en-US"/>
        </w:rPr>
      </w:pPr>
      <w:r>
        <w:rPr>
          <w:rFonts w:ascii="Times New Roman" w:hAnsi="Times New Roman"/>
          <w:sz w:val="24"/>
          <w:szCs w:val="24"/>
          <w:lang w:val="en-US"/>
        </w:rPr>
        <w:t xml:space="preserve">It is impossible to estimate the </w:t>
      </w:r>
      <w:r w:rsidR="001D47E1">
        <w:rPr>
          <w:rFonts w:ascii="Times New Roman" w:hAnsi="Times New Roman"/>
          <w:sz w:val="24"/>
          <w:szCs w:val="24"/>
          <w:lang w:val="en-US"/>
        </w:rPr>
        <w:t>frequency of relatively rare (&lt; 1/100) or very rare AEs (&lt; </w:t>
      </w:r>
      <w:r>
        <w:rPr>
          <w:rFonts w:ascii="Times New Roman" w:hAnsi="Times New Roman"/>
          <w:sz w:val="24"/>
          <w:szCs w:val="24"/>
          <w:lang w:val="en-US"/>
        </w:rPr>
        <w:t>1/1000) according to the data from study. This should be taken into account at</w:t>
      </w:r>
      <w:r>
        <w:rPr>
          <w:rFonts w:ascii="Times New Roman" w:hAnsi="Times New Roman"/>
          <w:sz w:val="24"/>
          <w:szCs w:val="24"/>
          <w:lang w:val="pt-PT"/>
        </w:rPr>
        <w:t xml:space="preserve"> result</w:t>
      </w:r>
      <w:r>
        <w:rPr>
          <w:rFonts w:ascii="Times New Roman" w:hAnsi="Times New Roman"/>
          <w:sz w:val="24"/>
          <w:szCs w:val="24"/>
          <w:lang w:val="en-US"/>
        </w:rPr>
        <w:t>s</w:t>
      </w:r>
      <w:r>
        <w:rPr>
          <w:rFonts w:ascii="Times New Roman" w:hAnsi="Times New Roman"/>
          <w:sz w:val="24"/>
          <w:szCs w:val="24"/>
          <w:lang w:val="it-IT"/>
        </w:rPr>
        <w:t xml:space="preserve"> extrapolat</w:t>
      </w:r>
      <w:r>
        <w:rPr>
          <w:rFonts w:ascii="Times New Roman" w:hAnsi="Times New Roman"/>
          <w:sz w:val="24"/>
          <w:szCs w:val="24"/>
          <w:lang w:val="en-US"/>
        </w:rPr>
        <w:t>ion on safety of PCV-13 for the entire population of patients with SJIA.</w:t>
      </w:r>
    </w:p>
    <w:p w14:paraId="3F4B7A6D" w14:textId="77777777" w:rsidR="00C62C8B" w:rsidRPr="00C62C8B" w:rsidRDefault="00C62C8B" w:rsidP="00C62C8B">
      <w:pPr>
        <w:widowControl w:val="0"/>
        <w:spacing w:after="0" w:line="240" w:lineRule="auto"/>
        <w:jc w:val="both"/>
        <w:rPr>
          <w:rFonts w:ascii="Times New Roman" w:hAnsi="Times New Roman"/>
          <w:bCs/>
          <w:sz w:val="24"/>
          <w:szCs w:val="24"/>
          <w:lang w:val="en-US"/>
        </w:rPr>
      </w:pPr>
    </w:p>
    <w:p w14:paraId="4DA48BDA" w14:textId="77777777" w:rsidR="00C62C8B" w:rsidRDefault="00C62C8B" w:rsidP="00C62C8B">
      <w:pPr>
        <w:widowControl w:val="0"/>
        <w:spacing w:after="0" w:line="24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FINANCING SOURCE</w:t>
      </w:r>
    </w:p>
    <w:p w14:paraId="3C960562" w14:textId="77777777" w:rsidR="00C62C8B" w:rsidRDefault="00C62C8B" w:rsidP="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PCV-13 was purchased out of the funds o</w:t>
      </w:r>
      <w:r w:rsidR="001D47E1">
        <w:rPr>
          <w:rFonts w:ascii="Times New Roman" w:hAnsi="Times New Roman"/>
          <w:sz w:val="24"/>
          <w:szCs w:val="24"/>
          <w:lang w:val="en-US"/>
        </w:rPr>
        <w:t xml:space="preserve">f regional public organization </w:t>
      </w:r>
      <w:r w:rsidR="001D47E1" w:rsidRPr="001D47E1">
        <w:rPr>
          <w:rFonts w:ascii="Times New Roman" w:hAnsi="Times New Roman"/>
          <w:sz w:val="24"/>
          <w:szCs w:val="24"/>
          <w:lang w:val="en-US"/>
        </w:rPr>
        <w:t>«</w:t>
      </w:r>
      <w:r w:rsidR="001D47E1">
        <w:rPr>
          <w:rFonts w:ascii="Times New Roman" w:hAnsi="Times New Roman"/>
          <w:sz w:val="24"/>
          <w:szCs w:val="24"/>
          <w:lang w:val="en-US"/>
        </w:rPr>
        <w:t>The League of Clinical Research</w:t>
      </w:r>
      <w:r w:rsidR="001D47E1" w:rsidRPr="001D47E1">
        <w:rPr>
          <w:rFonts w:ascii="Times New Roman" w:hAnsi="Times New Roman"/>
          <w:sz w:val="24"/>
          <w:szCs w:val="24"/>
          <w:lang w:val="en-US"/>
        </w:rPr>
        <w:t>»</w:t>
      </w:r>
      <w:r>
        <w:rPr>
          <w:rFonts w:ascii="Times New Roman" w:hAnsi="Times New Roman"/>
          <w:sz w:val="24"/>
          <w:szCs w:val="24"/>
          <w:lang w:val="en-US"/>
        </w:rPr>
        <w:t xml:space="preserve"> (Moscow). The organization was not involved in the planning and conducting of the present study, nor in the preparation and publication of the article.</w:t>
      </w:r>
    </w:p>
    <w:p w14:paraId="62595C9D" w14:textId="77777777" w:rsidR="00C62C8B" w:rsidRDefault="00C62C8B" w:rsidP="00C62C8B">
      <w:pPr>
        <w:widowControl w:val="0"/>
        <w:spacing w:after="0" w:line="240" w:lineRule="auto"/>
        <w:jc w:val="both"/>
        <w:rPr>
          <w:rFonts w:ascii="Times New Roman" w:eastAsia="Times New Roman" w:hAnsi="Times New Roman" w:cs="Times New Roman"/>
          <w:sz w:val="24"/>
          <w:szCs w:val="24"/>
          <w:lang w:val="en-US"/>
        </w:rPr>
      </w:pPr>
    </w:p>
    <w:p w14:paraId="1942CEFA" w14:textId="77777777" w:rsidR="00C62C8B" w:rsidRDefault="00C62C8B" w:rsidP="00C62C8B">
      <w:pPr>
        <w:widowControl w:val="0"/>
        <w:spacing w:after="0" w:line="24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CONFLICT OF INTERESTS</w:t>
      </w:r>
    </w:p>
    <w:p w14:paraId="330AFB6D" w14:textId="77777777" w:rsidR="00C62C8B" w:rsidRDefault="00C62C8B" w:rsidP="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Ekaterina I. </w:t>
      </w:r>
      <w:proofErr w:type="spellStart"/>
      <w:r>
        <w:rPr>
          <w:rFonts w:ascii="Times New Roman" w:hAnsi="Times New Roman"/>
          <w:b/>
          <w:bCs/>
          <w:sz w:val="24"/>
          <w:szCs w:val="24"/>
          <w:lang w:val="en-US"/>
        </w:rPr>
        <w:t>Alexeeva</w:t>
      </w:r>
      <w:proofErr w:type="spellEnd"/>
      <w:r>
        <w:rPr>
          <w:rFonts w:ascii="Times New Roman" w:hAnsi="Times New Roman"/>
          <w:b/>
          <w:bCs/>
          <w:sz w:val="24"/>
          <w:szCs w:val="24"/>
          <w:lang w:val="en-US"/>
        </w:rPr>
        <w:t xml:space="preserve"> </w:t>
      </w:r>
      <w:r>
        <w:rPr>
          <w:rFonts w:ascii="Times New Roman" w:hAnsi="Times New Roman"/>
          <w:sz w:val="24"/>
          <w:szCs w:val="24"/>
          <w:lang w:val="en-US"/>
        </w:rPr>
        <w:t xml:space="preserve">— receiving research grants from pharmaceutical companies Roche, Pfizer, </w:t>
      </w:r>
      <w:proofErr w:type="spellStart"/>
      <w:r>
        <w:rPr>
          <w:rFonts w:ascii="Times New Roman" w:hAnsi="Times New Roman"/>
          <w:sz w:val="24"/>
          <w:szCs w:val="24"/>
          <w:lang w:val="en-US"/>
        </w:rPr>
        <w:t>Centocor</w:t>
      </w:r>
      <w:proofErr w:type="spellEnd"/>
      <w:r>
        <w:rPr>
          <w:rFonts w:ascii="Times New Roman" w:hAnsi="Times New Roman"/>
          <w:sz w:val="24"/>
          <w:szCs w:val="24"/>
          <w:lang w:val="en-US"/>
        </w:rPr>
        <w:t>, Novartis.</w:t>
      </w:r>
    </w:p>
    <w:p w14:paraId="475C5DB0" w14:textId="77777777" w:rsidR="00C62C8B" w:rsidRDefault="00C62C8B" w:rsidP="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Tatyana M. </w:t>
      </w:r>
      <w:proofErr w:type="spellStart"/>
      <w:r>
        <w:rPr>
          <w:rFonts w:ascii="Times New Roman" w:hAnsi="Times New Roman"/>
          <w:b/>
          <w:bCs/>
          <w:sz w:val="24"/>
          <w:szCs w:val="24"/>
          <w:lang w:val="en-US"/>
        </w:rPr>
        <w:t>Dvoryakovskaya</w:t>
      </w:r>
      <w:proofErr w:type="spellEnd"/>
      <w:r>
        <w:rPr>
          <w:rFonts w:ascii="Times New Roman" w:hAnsi="Times New Roman"/>
          <w:b/>
          <w:bCs/>
          <w:sz w:val="24"/>
          <w:szCs w:val="24"/>
          <w:lang w:val="en-US"/>
        </w:rPr>
        <w:t xml:space="preserve"> </w:t>
      </w:r>
      <w:r>
        <w:rPr>
          <w:rFonts w:ascii="Times New Roman" w:hAnsi="Times New Roman"/>
          <w:sz w:val="24"/>
          <w:szCs w:val="24"/>
          <w:lang w:val="en-US"/>
        </w:rPr>
        <w:t>— receiving research grants from pharmaceutical companies Roche, Pfizer.</w:t>
      </w:r>
    </w:p>
    <w:p w14:paraId="3D8301A7" w14:textId="77777777" w:rsidR="00C62C8B" w:rsidRDefault="00C62C8B" w:rsidP="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shd w:val="clear" w:color="auto" w:fill="FFFFFF"/>
          <w:lang w:val="en-US"/>
        </w:rPr>
        <w:t xml:space="preserve">Rina V. </w:t>
      </w:r>
      <w:proofErr w:type="spellStart"/>
      <w:r>
        <w:rPr>
          <w:rFonts w:ascii="Times New Roman" w:hAnsi="Times New Roman"/>
          <w:b/>
          <w:bCs/>
          <w:sz w:val="24"/>
          <w:szCs w:val="24"/>
          <w:shd w:val="clear" w:color="auto" w:fill="FFFFFF"/>
          <w:lang w:val="en-US"/>
        </w:rPr>
        <w:t>Denisova</w:t>
      </w:r>
      <w:proofErr w:type="spellEnd"/>
      <w:r>
        <w:rPr>
          <w:rFonts w:ascii="Times New Roman" w:hAnsi="Times New Roman"/>
          <w:sz w:val="24"/>
          <w:szCs w:val="24"/>
          <w:lang w:val="en-US"/>
        </w:rPr>
        <w:t xml:space="preserve"> — receiving research grants from pharmaceutical companies Roche, </w:t>
      </w:r>
      <w:proofErr w:type="spellStart"/>
      <w:r>
        <w:rPr>
          <w:rFonts w:ascii="Times New Roman" w:hAnsi="Times New Roman"/>
          <w:sz w:val="24"/>
          <w:szCs w:val="24"/>
          <w:lang w:val="en-US"/>
        </w:rPr>
        <w:t>Centocor</w:t>
      </w:r>
      <w:proofErr w:type="spellEnd"/>
      <w:r>
        <w:rPr>
          <w:rFonts w:ascii="Times New Roman" w:hAnsi="Times New Roman"/>
          <w:sz w:val="24"/>
          <w:szCs w:val="24"/>
          <w:lang w:val="en-US"/>
        </w:rPr>
        <w:t>, Novartis.</w:t>
      </w:r>
    </w:p>
    <w:p w14:paraId="65E33FE7" w14:textId="77777777" w:rsidR="00F4078D" w:rsidRPr="00C62C8B" w:rsidRDefault="00C62C8B" w:rsidP="00C62C8B">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Other authors confirmed the absence of a reportable conflict of interests.</w:t>
      </w:r>
    </w:p>
    <w:sectPr w:rsidR="00F4078D" w:rsidRPr="00C62C8B">
      <w:headerReference w:type="default" r:id="rId7"/>
      <w:footerReference w:type="default" r:id="rId8"/>
      <w:pgSz w:w="11900" w:h="16840"/>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BBB5C" w14:textId="77777777" w:rsidR="00AD1399" w:rsidRDefault="00AD1399">
      <w:pPr>
        <w:spacing w:after="0" w:line="240" w:lineRule="auto"/>
      </w:pPr>
      <w:r>
        <w:separator/>
      </w:r>
    </w:p>
  </w:endnote>
  <w:endnote w:type="continuationSeparator" w:id="0">
    <w:p w14:paraId="4A84F4AF" w14:textId="77777777" w:rsidR="00AD1399" w:rsidRDefault="00AD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23ED0" w14:textId="77777777" w:rsidR="00F4078D" w:rsidRDefault="00F407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771C2" w14:textId="77777777" w:rsidR="00AD1399" w:rsidRDefault="00AD1399">
      <w:pPr>
        <w:spacing w:after="0" w:line="240" w:lineRule="auto"/>
      </w:pPr>
      <w:r>
        <w:separator/>
      </w:r>
    </w:p>
  </w:footnote>
  <w:footnote w:type="continuationSeparator" w:id="0">
    <w:p w14:paraId="0F5B05A2" w14:textId="77777777" w:rsidR="00AD1399" w:rsidRDefault="00AD1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E8641" w14:textId="77777777" w:rsidR="00F4078D" w:rsidRDefault="00F407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5D39"/>
    <w:multiLevelType w:val="hybridMultilevel"/>
    <w:tmpl w:val="350C960E"/>
    <w:lvl w:ilvl="0" w:tplc="3CAE290C">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362C620">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CAC804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5B88B02">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656FACA">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816E4C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5B264E4">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DECD062">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86F630">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DF360FB"/>
    <w:multiLevelType w:val="hybridMultilevel"/>
    <w:tmpl w:val="95682950"/>
    <w:lvl w:ilvl="0" w:tplc="53266BE4">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E893BE">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0EA3FF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DD4EFC4">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5302F00">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B38F834">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FE89256">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3255A8">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D3E43E6">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4DE3040"/>
    <w:multiLevelType w:val="hybridMultilevel"/>
    <w:tmpl w:val="86A28198"/>
    <w:lvl w:ilvl="0" w:tplc="3E28DD72">
      <w:start w:val="1"/>
      <w:numFmt w:val="bullet"/>
      <w:lvlText w:val="-"/>
      <w:lvlJc w:val="left"/>
      <w:pPr>
        <w:ind w:left="850" w:hanging="850"/>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154F2A8">
      <w:start w:val="1"/>
      <w:numFmt w:val="bullet"/>
      <w:lvlText w:val="o"/>
      <w:lvlJc w:val="left"/>
      <w:pPr>
        <w:ind w:left="859" w:hanging="835"/>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7E6415C">
      <w:start w:val="1"/>
      <w:numFmt w:val="bullet"/>
      <w:lvlText w:val="▪"/>
      <w:lvlJc w:val="left"/>
      <w:pPr>
        <w:ind w:left="1577" w:hanging="821"/>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DFC6C3E">
      <w:start w:val="1"/>
      <w:numFmt w:val="bullet"/>
      <w:lvlText w:val="·"/>
      <w:lvlJc w:val="left"/>
      <w:pPr>
        <w:ind w:left="2294" w:hanging="806"/>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7A076F8">
      <w:start w:val="1"/>
      <w:numFmt w:val="bullet"/>
      <w:lvlText w:val="o"/>
      <w:lvlJc w:val="left"/>
      <w:pPr>
        <w:ind w:left="3012" w:hanging="79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4C0AF26">
      <w:start w:val="1"/>
      <w:numFmt w:val="bullet"/>
      <w:lvlText w:val="▪"/>
      <w:lvlJc w:val="left"/>
      <w:pPr>
        <w:ind w:left="3730" w:hanging="778"/>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598AB90">
      <w:start w:val="1"/>
      <w:numFmt w:val="bullet"/>
      <w:lvlText w:val="·"/>
      <w:lvlJc w:val="left"/>
      <w:pPr>
        <w:ind w:left="4447" w:hanging="763"/>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49CBD38">
      <w:start w:val="1"/>
      <w:numFmt w:val="bullet"/>
      <w:lvlText w:val="o"/>
      <w:lvlJc w:val="left"/>
      <w:pPr>
        <w:ind w:left="5165" w:hanging="749"/>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9940B40">
      <w:start w:val="1"/>
      <w:numFmt w:val="bullet"/>
      <w:lvlText w:val="▪"/>
      <w:lvlJc w:val="left"/>
      <w:pPr>
        <w:ind w:left="5882" w:hanging="734"/>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15EF2016"/>
    <w:multiLevelType w:val="hybridMultilevel"/>
    <w:tmpl w:val="673CF810"/>
    <w:lvl w:ilvl="0" w:tplc="45A2A4FC">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A160E1E">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D58C79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860D7D6">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62D96E">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F6E2D74">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B2CC9BC">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2CEE4BA">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C76AFD6">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9533223"/>
    <w:multiLevelType w:val="hybridMultilevel"/>
    <w:tmpl w:val="40CE6A6A"/>
    <w:lvl w:ilvl="0" w:tplc="BFAA4DC8">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8EA1FEC">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E40F60E">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92264E">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D2A8DA">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DB04022">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F18E218">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A284AE2">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0AA6060">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F4A175E"/>
    <w:multiLevelType w:val="hybridMultilevel"/>
    <w:tmpl w:val="6BB21F00"/>
    <w:lvl w:ilvl="0" w:tplc="88B4EC8A">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0FEF378">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710258E">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E3AF484">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244DCE6">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9F29BDE">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CE8675A">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378090C">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29653B0">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E2531AB"/>
    <w:multiLevelType w:val="hybridMultilevel"/>
    <w:tmpl w:val="5F803302"/>
    <w:lvl w:ilvl="0" w:tplc="2722A17A">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ECC2730">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916FDC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49ACF3C">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2D03A88">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14E432A">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5687054">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7F021DE">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FC0C40E">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5D4E310E"/>
    <w:multiLevelType w:val="hybridMultilevel"/>
    <w:tmpl w:val="3344054A"/>
    <w:lvl w:ilvl="0" w:tplc="3A3673BC">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DCA3DDA">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C60DDEE">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A8025AC">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E666D52">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81EECEC">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B6EBE04">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FBA2C12">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1A8B5E">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65966AFC"/>
    <w:multiLevelType w:val="hybridMultilevel"/>
    <w:tmpl w:val="498C018A"/>
    <w:lvl w:ilvl="0" w:tplc="8D4AB5CA">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712C630">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65A4AD2">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0709056">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5564C60">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B647CEE">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0A0B442">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11C9CCC">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DA8726A">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691E6896"/>
    <w:multiLevelType w:val="hybridMultilevel"/>
    <w:tmpl w:val="3736908E"/>
    <w:lvl w:ilvl="0" w:tplc="416407AC">
      <w:start w:val="1"/>
      <w:numFmt w:val="bullet"/>
      <w:lvlText w:val="-"/>
      <w:lvlJc w:val="left"/>
      <w:pPr>
        <w:ind w:left="708" w:hanging="70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62B5F0">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1C0E4B4">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488FF1E">
      <w:start w:val="1"/>
      <w:numFmt w:val="bullet"/>
      <w:lvlText w:val="·"/>
      <w:lvlJc w:val="left"/>
      <w:pPr>
        <w:ind w:left="2160" w:hanging="67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15E56AC">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65A0EAA">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960CE0">
      <w:start w:val="1"/>
      <w:numFmt w:val="bullet"/>
      <w:lvlText w:val="·"/>
      <w:lvlJc w:val="left"/>
      <w:pPr>
        <w:ind w:left="4320" w:hanging="636"/>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F203F04">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ECE45C8">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5"/>
  </w:num>
  <w:num w:numId="2">
    <w:abstractNumId w:val="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8D"/>
    <w:rsid w:val="001D47E1"/>
    <w:rsid w:val="0029361A"/>
    <w:rsid w:val="00567F27"/>
    <w:rsid w:val="006C5A99"/>
    <w:rsid w:val="007F734E"/>
    <w:rsid w:val="00AD1399"/>
    <w:rsid w:val="00C62C8B"/>
    <w:rsid w:val="00DE3225"/>
    <w:rsid w:val="00F4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3988"/>
  <w15:docId w15:val="{F4AD0D35-5A34-49E4-8997-B3606F14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pPr>
      <w:spacing w:after="200" w:line="276" w:lineRule="auto"/>
    </w:pPr>
    <w:rPr>
      <w:rFonts w:eastAsia="Times New Roman"/>
      <w:color w:val="000000"/>
      <w:sz w:val="28"/>
      <w:szCs w:val="28"/>
      <w:u w:color="000000"/>
    </w:rPr>
  </w:style>
  <w:style w:type="paragraph" w:customStyle="1" w:styleId="1">
    <w:name w:val="Без интервала1"/>
    <w:pPr>
      <w:spacing w:after="200" w:line="276"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Redactor</dc:creator>
  <cp:lastModifiedBy>Елена Сухачева</cp:lastModifiedBy>
  <cp:revision>2</cp:revision>
  <dcterms:created xsi:type="dcterms:W3CDTF">2021-01-11T10:22:00Z</dcterms:created>
  <dcterms:modified xsi:type="dcterms:W3CDTF">2021-01-11T10:22:00Z</dcterms:modified>
</cp:coreProperties>
</file>