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E3E8FA" w14:textId="4949F7F9" w:rsidR="00254303" w:rsidRPr="005748FB" w:rsidRDefault="00602037" w:rsidP="005748FB">
      <w:pPr>
        <w:spacing w:line="360" w:lineRule="auto"/>
        <w:ind w:left="0"/>
        <w:rPr>
          <w:b/>
          <w:sz w:val="24"/>
          <w:vertAlign w:val="superscript"/>
          <w:lang w:val="en-US"/>
        </w:rPr>
      </w:pPr>
      <w:r w:rsidRPr="005748FB">
        <w:rPr>
          <w:b/>
          <w:sz w:val="24"/>
          <w:lang w:val="en-US"/>
        </w:rPr>
        <w:t>Anatoly S. Simakhodsky</w:t>
      </w:r>
      <w:r w:rsidRPr="005748FB">
        <w:rPr>
          <w:b/>
          <w:sz w:val="24"/>
          <w:vertAlign w:val="superscript"/>
          <w:lang w:val="en-US"/>
        </w:rPr>
        <w:t>1</w:t>
      </w:r>
      <w:r w:rsidRPr="005748FB">
        <w:rPr>
          <w:b/>
          <w:sz w:val="24"/>
          <w:lang w:val="en-US"/>
        </w:rPr>
        <w:t>, Ludmila D. Sevostyanova</w:t>
      </w:r>
      <w:r w:rsidRPr="005748FB">
        <w:rPr>
          <w:b/>
          <w:sz w:val="24"/>
          <w:vertAlign w:val="superscript"/>
          <w:lang w:val="en-US"/>
        </w:rPr>
        <w:t>2</w:t>
      </w:r>
      <w:r w:rsidR="006F583B" w:rsidRPr="005748FB">
        <w:rPr>
          <w:b/>
          <w:sz w:val="24"/>
          <w:lang w:val="en-US"/>
        </w:rPr>
        <w:t>,</w:t>
      </w:r>
      <w:r w:rsidRPr="005748FB">
        <w:rPr>
          <w:b/>
          <w:sz w:val="24"/>
          <w:lang w:val="en-US"/>
        </w:rPr>
        <w:t xml:space="preserve"> Yulia V. Lukash</w:t>
      </w:r>
      <w:r w:rsidRPr="005748FB">
        <w:rPr>
          <w:b/>
          <w:sz w:val="24"/>
        </w:rPr>
        <w:t>о</w:t>
      </w:r>
      <w:r w:rsidRPr="005748FB">
        <w:rPr>
          <w:b/>
          <w:sz w:val="24"/>
          <w:lang w:val="en-US"/>
        </w:rPr>
        <w:t>va</w:t>
      </w:r>
      <w:r w:rsidRPr="005748FB">
        <w:rPr>
          <w:b/>
          <w:sz w:val="24"/>
          <w:vertAlign w:val="superscript"/>
          <w:lang w:val="en-US"/>
        </w:rPr>
        <w:t>1</w:t>
      </w:r>
      <w:r w:rsidRPr="005748FB">
        <w:rPr>
          <w:b/>
          <w:sz w:val="24"/>
          <w:lang w:val="en-US"/>
        </w:rPr>
        <w:t>, Natalya V. Petrova</w:t>
      </w:r>
      <w:r w:rsidRPr="005748FB">
        <w:rPr>
          <w:b/>
          <w:sz w:val="24"/>
          <w:vertAlign w:val="superscript"/>
          <w:lang w:val="en-US"/>
        </w:rPr>
        <w:t>1</w:t>
      </w:r>
      <w:r w:rsidRPr="005748FB">
        <w:rPr>
          <w:b/>
          <w:sz w:val="24"/>
          <w:lang w:val="en-US"/>
        </w:rPr>
        <w:t>, Oleg A. Simakhodsky</w:t>
      </w:r>
      <w:r w:rsidRPr="005748FB">
        <w:rPr>
          <w:b/>
          <w:sz w:val="24"/>
          <w:vertAlign w:val="superscript"/>
          <w:lang w:val="en-US"/>
        </w:rPr>
        <w:t>3</w:t>
      </w:r>
    </w:p>
    <w:p w14:paraId="62F8B2A3" w14:textId="77777777" w:rsidR="00907722" w:rsidRPr="00907722" w:rsidRDefault="00907722" w:rsidP="005748FB">
      <w:pPr>
        <w:spacing w:line="360" w:lineRule="auto"/>
        <w:ind w:left="0"/>
        <w:rPr>
          <w:bCs/>
          <w:sz w:val="24"/>
          <w:lang w:val="en-US"/>
        </w:rPr>
      </w:pPr>
    </w:p>
    <w:p w14:paraId="634CDFA7" w14:textId="26F65D75" w:rsidR="00602037" w:rsidRPr="005748FB" w:rsidRDefault="00602037" w:rsidP="005748FB">
      <w:pPr>
        <w:pStyle w:val="a3"/>
        <w:spacing w:line="360" w:lineRule="auto"/>
        <w:jc w:val="both"/>
        <w:rPr>
          <w:sz w:val="24"/>
          <w:szCs w:val="24"/>
          <w:lang w:val="en-US"/>
        </w:rPr>
      </w:pPr>
      <w:r w:rsidRPr="005748FB">
        <w:rPr>
          <w:sz w:val="24"/>
          <w:szCs w:val="24"/>
          <w:vertAlign w:val="superscript"/>
          <w:lang w:val="en-US"/>
        </w:rPr>
        <w:t>1</w:t>
      </w:r>
      <w:r w:rsidR="006F583B" w:rsidRPr="005748FB">
        <w:rPr>
          <w:sz w:val="24"/>
          <w:szCs w:val="24"/>
          <w:lang w:val="en-US"/>
        </w:rPr>
        <w:t> </w:t>
      </w:r>
      <w:r w:rsidR="005748FB" w:rsidRPr="005748FB">
        <w:rPr>
          <w:sz w:val="24"/>
          <w:szCs w:val="24"/>
          <w:lang w:val="en-US"/>
        </w:rPr>
        <w:t>Pavlov First Saint Petersburg State Medical University, Saint Petersburg, Russian Federation</w:t>
      </w:r>
    </w:p>
    <w:p w14:paraId="172CE8C1" w14:textId="6E012908" w:rsidR="00602037" w:rsidRPr="005748FB" w:rsidRDefault="00602037" w:rsidP="005748FB">
      <w:pPr>
        <w:pStyle w:val="a3"/>
        <w:spacing w:line="360" w:lineRule="auto"/>
        <w:jc w:val="both"/>
        <w:rPr>
          <w:sz w:val="24"/>
          <w:szCs w:val="24"/>
          <w:lang w:val="en-US"/>
        </w:rPr>
      </w:pPr>
      <w:r w:rsidRPr="005748FB">
        <w:rPr>
          <w:sz w:val="24"/>
          <w:szCs w:val="24"/>
          <w:vertAlign w:val="superscript"/>
          <w:lang w:val="en-US"/>
        </w:rPr>
        <w:t>2</w:t>
      </w:r>
      <w:r w:rsidR="006F583B" w:rsidRPr="005748FB">
        <w:rPr>
          <w:sz w:val="24"/>
          <w:szCs w:val="24"/>
          <w:lang w:val="en-US"/>
        </w:rPr>
        <w:t> </w:t>
      </w:r>
      <w:r w:rsidR="005748FB" w:rsidRPr="005748FB">
        <w:rPr>
          <w:sz w:val="24"/>
          <w:szCs w:val="24"/>
          <w:lang w:val="en-US"/>
        </w:rPr>
        <w:t>Center for Analysis and Prognosis of Children's Health at Health Committee of Saint Petersburg</w:t>
      </w:r>
      <w:r w:rsidRPr="005748FB">
        <w:rPr>
          <w:sz w:val="24"/>
          <w:szCs w:val="24"/>
          <w:lang w:val="en-US"/>
        </w:rPr>
        <w:t xml:space="preserve">, </w:t>
      </w:r>
      <w:r w:rsidR="005748FB" w:rsidRPr="005748FB">
        <w:rPr>
          <w:sz w:val="24"/>
          <w:szCs w:val="24"/>
          <w:lang w:val="en-US"/>
        </w:rPr>
        <w:t>Saint Petersburg, Russian Federation</w:t>
      </w:r>
    </w:p>
    <w:p w14:paraId="30E9FAD9" w14:textId="5B265D2F" w:rsidR="00602037" w:rsidRPr="005748FB" w:rsidRDefault="00602037" w:rsidP="005748FB">
      <w:pPr>
        <w:pStyle w:val="a3"/>
        <w:spacing w:line="360" w:lineRule="auto"/>
        <w:jc w:val="both"/>
        <w:rPr>
          <w:sz w:val="24"/>
          <w:szCs w:val="24"/>
          <w:lang w:val="en-US"/>
        </w:rPr>
      </w:pPr>
      <w:r w:rsidRPr="005748FB">
        <w:rPr>
          <w:sz w:val="24"/>
          <w:szCs w:val="24"/>
          <w:vertAlign w:val="superscript"/>
          <w:lang w:val="en-US"/>
        </w:rPr>
        <w:t>3</w:t>
      </w:r>
      <w:r w:rsidR="006F583B" w:rsidRPr="005748FB">
        <w:rPr>
          <w:sz w:val="24"/>
          <w:szCs w:val="24"/>
          <w:lang w:val="en-US"/>
        </w:rPr>
        <w:t> </w:t>
      </w:r>
      <w:r w:rsidR="005748FB">
        <w:rPr>
          <w:sz w:val="24"/>
          <w:szCs w:val="24"/>
          <w:lang w:val="en-US"/>
        </w:rPr>
        <w:t>T</w:t>
      </w:r>
      <w:r w:rsidR="005748FB" w:rsidRPr="005748FB">
        <w:rPr>
          <w:sz w:val="24"/>
          <w:szCs w:val="24"/>
          <w:lang w:val="en-US"/>
        </w:rPr>
        <w:t>enderfood</w:t>
      </w:r>
      <w:r w:rsidRPr="005748FB">
        <w:rPr>
          <w:sz w:val="24"/>
          <w:szCs w:val="24"/>
          <w:lang w:val="en-US"/>
        </w:rPr>
        <w:t xml:space="preserve">, </w:t>
      </w:r>
      <w:r w:rsidR="005748FB" w:rsidRPr="005748FB">
        <w:rPr>
          <w:sz w:val="24"/>
          <w:szCs w:val="24"/>
          <w:lang w:val="en-US"/>
        </w:rPr>
        <w:t>Saint Petersburg, Russian Federation</w:t>
      </w:r>
    </w:p>
    <w:p w14:paraId="5AA10DF0" w14:textId="77777777" w:rsidR="007A5C5A" w:rsidRPr="005748FB" w:rsidRDefault="007A5C5A" w:rsidP="005748FB">
      <w:pPr>
        <w:pStyle w:val="a3"/>
        <w:spacing w:line="360" w:lineRule="auto"/>
        <w:jc w:val="both"/>
        <w:rPr>
          <w:sz w:val="24"/>
          <w:szCs w:val="24"/>
          <w:lang w:val="en-US"/>
        </w:rPr>
      </w:pPr>
    </w:p>
    <w:p w14:paraId="341D3DB0" w14:textId="45AAFB2A" w:rsidR="00602037" w:rsidRPr="005748FB" w:rsidRDefault="00602037" w:rsidP="005748FB">
      <w:pPr>
        <w:pStyle w:val="a3"/>
        <w:spacing w:line="360" w:lineRule="auto"/>
        <w:jc w:val="both"/>
        <w:rPr>
          <w:b/>
          <w:sz w:val="24"/>
          <w:szCs w:val="24"/>
          <w:lang w:val="en-US"/>
        </w:rPr>
      </w:pPr>
      <w:r w:rsidRPr="005748FB">
        <w:rPr>
          <w:b/>
          <w:sz w:val="24"/>
          <w:szCs w:val="24"/>
          <w:lang w:val="en-US"/>
        </w:rPr>
        <w:t xml:space="preserve">Dynamics of </w:t>
      </w:r>
      <w:r w:rsidR="005748FB" w:rsidRPr="005748FB">
        <w:rPr>
          <w:b/>
          <w:sz w:val="24"/>
          <w:szCs w:val="24"/>
          <w:lang w:val="en-US"/>
        </w:rPr>
        <w:t xml:space="preserve">Some Medical </w:t>
      </w:r>
      <w:r w:rsidRPr="005748FB">
        <w:rPr>
          <w:b/>
          <w:sz w:val="24"/>
          <w:szCs w:val="24"/>
          <w:lang w:val="en-US"/>
        </w:rPr>
        <w:t xml:space="preserve">and </w:t>
      </w:r>
      <w:r w:rsidR="005748FB" w:rsidRPr="005748FB">
        <w:rPr>
          <w:b/>
          <w:sz w:val="24"/>
          <w:szCs w:val="24"/>
          <w:lang w:val="en-US"/>
        </w:rPr>
        <w:t xml:space="preserve">Demographic Indicators </w:t>
      </w:r>
      <w:r w:rsidR="006C5C29" w:rsidRPr="005748FB">
        <w:rPr>
          <w:b/>
          <w:sz w:val="24"/>
          <w:szCs w:val="24"/>
          <w:lang w:val="en-US"/>
        </w:rPr>
        <w:t>in</w:t>
      </w:r>
      <w:r w:rsidRPr="005748FB">
        <w:rPr>
          <w:b/>
          <w:sz w:val="24"/>
          <w:szCs w:val="24"/>
          <w:lang w:val="en-US"/>
        </w:rPr>
        <w:t xml:space="preserve"> St. Petersburg </w:t>
      </w:r>
      <w:r w:rsidR="005748FB" w:rsidRPr="005748FB">
        <w:rPr>
          <w:b/>
          <w:sz w:val="24"/>
          <w:szCs w:val="24"/>
          <w:lang w:val="en-US"/>
        </w:rPr>
        <w:t xml:space="preserve">During </w:t>
      </w:r>
      <w:r w:rsidR="006C5C29" w:rsidRPr="005748FB">
        <w:rPr>
          <w:b/>
          <w:sz w:val="24"/>
          <w:szCs w:val="24"/>
          <w:lang w:val="en-US"/>
        </w:rPr>
        <w:t xml:space="preserve">the </w:t>
      </w:r>
      <w:r w:rsidR="005748FB" w:rsidRPr="005748FB">
        <w:rPr>
          <w:b/>
          <w:sz w:val="24"/>
          <w:szCs w:val="24"/>
          <w:lang w:val="en-US"/>
        </w:rPr>
        <w:t xml:space="preserve">Period </w:t>
      </w:r>
      <w:r w:rsidR="006C5C29" w:rsidRPr="005748FB">
        <w:rPr>
          <w:b/>
          <w:sz w:val="24"/>
          <w:szCs w:val="24"/>
          <w:lang w:val="en-US"/>
        </w:rPr>
        <w:t>from</w:t>
      </w:r>
      <w:r w:rsidRPr="005748FB">
        <w:rPr>
          <w:b/>
          <w:sz w:val="24"/>
          <w:szCs w:val="24"/>
          <w:lang w:val="en-US"/>
        </w:rPr>
        <w:t xml:space="preserve"> 2018</w:t>
      </w:r>
      <w:r w:rsidR="006C5C29" w:rsidRPr="005748FB">
        <w:rPr>
          <w:b/>
          <w:sz w:val="24"/>
          <w:szCs w:val="24"/>
          <w:lang w:val="en-US"/>
        </w:rPr>
        <w:t xml:space="preserve"> to </w:t>
      </w:r>
      <w:r w:rsidRPr="005748FB">
        <w:rPr>
          <w:b/>
          <w:sz w:val="24"/>
          <w:szCs w:val="24"/>
          <w:lang w:val="en-US"/>
        </w:rPr>
        <w:t>2023</w:t>
      </w:r>
    </w:p>
    <w:p w14:paraId="60D45F07" w14:textId="77777777" w:rsidR="00602037" w:rsidRPr="002662AC" w:rsidRDefault="00602037" w:rsidP="005748FB">
      <w:pPr>
        <w:pStyle w:val="a3"/>
        <w:spacing w:line="360" w:lineRule="auto"/>
        <w:jc w:val="both"/>
        <w:rPr>
          <w:sz w:val="24"/>
          <w:szCs w:val="24"/>
          <w:lang w:val="en-US"/>
        </w:rPr>
      </w:pPr>
    </w:p>
    <w:p w14:paraId="12EEE448" w14:textId="47FE3B1A" w:rsidR="009266F2" w:rsidRPr="002B1452" w:rsidRDefault="005748FB" w:rsidP="005748FB">
      <w:pPr>
        <w:pStyle w:val="a3"/>
        <w:spacing w:line="360" w:lineRule="auto"/>
        <w:jc w:val="both"/>
        <w:rPr>
          <w:b/>
          <w:sz w:val="24"/>
          <w:szCs w:val="24"/>
          <w:lang w:val="en-US"/>
        </w:rPr>
      </w:pPr>
      <w:r>
        <w:rPr>
          <w:b/>
          <w:sz w:val="24"/>
          <w:szCs w:val="24"/>
          <w:lang w:val="en-US"/>
        </w:rPr>
        <w:t>Contact</w:t>
      </w:r>
      <w:r w:rsidRPr="002B1452">
        <w:rPr>
          <w:b/>
          <w:sz w:val="24"/>
          <w:szCs w:val="24"/>
          <w:lang w:val="en-US"/>
        </w:rPr>
        <w:t xml:space="preserve"> </w:t>
      </w:r>
      <w:r>
        <w:rPr>
          <w:b/>
          <w:sz w:val="24"/>
          <w:szCs w:val="24"/>
          <w:lang w:val="en-US"/>
        </w:rPr>
        <w:t>information</w:t>
      </w:r>
      <w:r w:rsidR="007A5C5A" w:rsidRPr="002B1452">
        <w:rPr>
          <w:b/>
          <w:sz w:val="24"/>
          <w:szCs w:val="24"/>
          <w:lang w:val="en-US"/>
        </w:rPr>
        <w:t>:</w:t>
      </w:r>
    </w:p>
    <w:p w14:paraId="4E4E846E" w14:textId="28A741D2" w:rsidR="00602037" w:rsidRPr="005748FB" w:rsidRDefault="005748FB" w:rsidP="005748FB">
      <w:pPr>
        <w:pStyle w:val="a3"/>
        <w:spacing w:line="360" w:lineRule="auto"/>
        <w:jc w:val="both"/>
        <w:rPr>
          <w:sz w:val="24"/>
          <w:szCs w:val="24"/>
          <w:lang w:val="en-US"/>
        </w:rPr>
      </w:pPr>
      <w:r w:rsidRPr="005748FB">
        <w:rPr>
          <w:i/>
          <w:sz w:val="24"/>
          <w:szCs w:val="24"/>
          <w:lang w:val="en-US"/>
        </w:rPr>
        <w:t xml:space="preserve">Simakhodsky Anatoly </w:t>
      </w:r>
      <w:r>
        <w:rPr>
          <w:i/>
          <w:sz w:val="24"/>
          <w:szCs w:val="24"/>
          <w:lang w:val="en-US"/>
        </w:rPr>
        <w:t>Semenovich</w:t>
      </w:r>
      <w:r w:rsidR="00602037" w:rsidRPr="005748FB">
        <w:rPr>
          <w:sz w:val="24"/>
          <w:szCs w:val="24"/>
          <w:lang w:val="en-US"/>
        </w:rPr>
        <w:t xml:space="preserve">, </w:t>
      </w:r>
      <w:r w:rsidRPr="005748FB">
        <w:rPr>
          <w:sz w:val="24"/>
          <w:szCs w:val="24"/>
          <w:lang w:val="en-US"/>
        </w:rPr>
        <w:t xml:space="preserve">doctor of medicine, professor, head of the department of childhood diseases with neonatology course </w:t>
      </w:r>
      <w:r>
        <w:rPr>
          <w:sz w:val="24"/>
          <w:szCs w:val="24"/>
          <w:lang w:val="en-US"/>
        </w:rPr>
        <w:t xml:space="preserve">at </w:t>
      </w:r>
      <w:r w:rsidRPr="005748FB">
        <w:rPr>
          <w:sz w:val="24"/>
          <w:szCs w:val="24"/>
          <w:lang w:val="en-US"/>
        </w:rPr>
        <w:t>Pavlov First Saint Petersburg State Medical University</w:t>
      </w:r>
      <w:r w:rsidRPr="005748FB">
        <w:rPr>
          <w:b/>
          <w:sz w:val="24"/>
          <w:szCs w:val="24"/>
          <w:lang w:val="en-US"/>
        </w:rPr>
        <w:t xml:space="preserve"> </w:t>
      </w:r>
      <w:r>
        <w:rPr>
          <w:b/>
          <w:sz w:val="24"/>
          <w:szCs w:val="24"/>
          <w:lang w:val="en-US"/>
        </w:rPr>
        <w:t>Address</w:t>
      </w:r>
      <w:r w:rsidR="00602037" w:rsidRPr="005748FB">
        <w:rPr>
          <w:b/>
          <w:sz w:val="24"/>
          <w:szCs w:val="24"/>
          <w:lang w:val="en-US"/>
        </w:rPr>
        <w:t>:</w:t>
      </w:r>
      <w:r w:rsidR="00602037" w:rsidRPr="005748FB">
        <w:rPr>
          <w:sz w:val="24"/>
          <w:szCs w:val="24"/>
          <w:lang w:val="en-US"/>
        </w:rPr>
        <w:t xml:space="preserve"> 197022, </w:t>
      </w:r>
      <w:r w:rsidRPr="005748FB">
        <w:rPr>
          <w:sz w:val="24"/>
          <w:szCs w:val="24"/>
          <w:lang w:val="en-US"/>
        </w:rPr>
        <w:t>Saint Petersburg</w:t>
      </w:r>
      <w:r w:rsidR="00602037" w:rsidRPr="005748FB">
        <w:rPr>
          <w:sz w:val="24"/>
          <w:szCs w:val="24"/>
          <w:lang w:val="en-US"/>
        </w:rPr>
        <w:t xml:space="preserve">, </w:t>
      </w:r>
      <w:r w:rsidRPr="005748FB">
        <w:rPr>
          <w:sz w:val="24"/>
          <w:szCs w:val="24"/>
          <w:lang w:val="en-US"/>
        </w:rPr>
        <w:t>Leo Tolstoy Street</w:t>
      </w:r>
      <w:r w:rsidR="009266F2" w:rsidRPr="005748FB">
        <w:rPr>
          <w:sz w:val="24"/>
          <w:szCs w:val="24"/>
          <w:lang w:val="en-US"/>
        </w:rPr>
        <w:t>,</w:t>
      </w:r>
      <w:r w:rsidR="00602037" w:rsidRPr="005748FB">
        <w:rPr>
          <w:sz w:val="24"/>
          <w:szCs w:val="24"/>
          <w:lang w:val="en-US"/>
        </w:rPr>
        <w:t xml:space="preserve"> 6-8,</w:t>
      </w:r>
      <w:r w:rsidR="009266F2" w:rsidRPr="005748FB">
        <w:rPr>
          <w:sz w:val="24"/>
          <w:szCs w:val="24"/>
          <w:lang w:val="en-US"/>
        </w:rPr>
        <w:t xml:space="preserve"> </w:t>
      </w:r>
      <w:r w:rsidR="009266F2" w:rsidRPr="000B2B6A">
        <w:rPr>
          <w:b/>
          <w:sz w:val="24"/>
          <w:szCs w:val="24"/>
          <w:lang w:val="en-US"/>
        </w:rPr>
        <w:t>e</w:t>
      </w:r>
      <w:r w:rsidR="009266F2" w:rsidRPr="005748FB">
        <w:rPr>
          <w:b/>
          <w:sz w:val="24"/>
          <w:szCs w:val="24"/>
          <w:lang w:val="en-US"/>
        </w:rPr>
        <w:t>-mail:</w:t>
      </w:r>
      <w:r w:rsidR="009266F2" w:rsidRPr="005748FB">
        <w:rPr>
          <w:sz w:val="24"/>
          <w:szCs w:val="24"/>
          <w:lang w:val="en-US"/>
        </w:rPr>
        <w:t xml:space="preserve"> simanat@inbox.ru </w:t>
      </w:r>
    </w:p>
    <w:p w14:paraId="3D55AD00" w14:textId="77777777" w:rsidR="007A5C5A" w:rsidRPr="005748FB" w:rsidRDefault="007A5C5A" w:rsidP="005748FB">
      <w:pPr>
        <w:pStyle w:val="a3"/>
        <w:spacing w:line="360" w:lineRule="auto"/>
        <w:jc w:val="both"/>
        <w:rPr>
          <w:sz w:val="24"/>
          <w:szCs w:val="24"/>
          <w:lang w:val="en-US"/>
        </w:rPr>
      </w:pPr>
    </w:p>
    <w:p w14:paraId="13F6B88D" w14:textId="3F815ECE" w:rsidR="00FB44BE" w:rsidRPr="00D575BC" w:rsidRDefault="00D32E8D" w:rsidP="005748FB">
      <w:pPr>
        <w:pStyle w:val="a3"/>
        <w:spacing w:line="360" w:lineRule="auto"/>
        <w:jc w:val="both"/>
        <w:rPr>
          <w:i/>
          <w:sz w:val="24"/>
          <w:lang w:val="en-US"/>
        </w:rPr>
      </w:pPr>
      <w:r>
        <w:rPr>
          <w:b/>
          <w:bCs/>
          <w:i/>
          <w:iCs/>
          <w:sz w:val="24"/>
          <w:szCs w:val="24"/>
          <w:lang w:val="en-US"/>
        </w:rPr>
        <w:t>Background</w:t>
      </w:r>
      <w:r w:rsidR="009266F2" w:rsidRPr="003C722A">
        <w:rPr>
          <w:b/>
          <w:i/>
          <w:sz w:val="24"/>
          <w:lang w:val="en-US"/>
        </w:rPr>
        <w:t xml:space="preserve">. </w:t>
      </w:r>
      <w:r w:rsidR="003C722A" w:rsidRPr="003C722A">
        <w:rPr>
          <w:i/>
          <w:sz w:val="24"/>
          <w:lang w:val="en-US"/>
        </w:rPr>
        <w:t xml:space="preserve">There have been negative trends in the birth rate and population growth decline in recent years. Forecasts from demographers are also not so encouraging as the next generation of childbearing age is one from the end of the last century which is characterized by low birth rate. Population mortality exceeded the birth rate during the years of challenging and questionable economic reforms. Moreover, there was a high level of chronic morbidity in child population, and physical development had the trend to retardation. </w:t>
      </w:r>
      <w:r w:rsidR="00D575BC" w:rsidRPr="00D575BC">
        <w:rPr>
          <w:i/>
          <w:sz w:val="24"/>
          <w:lang w:val="en-US"/>
        </w:rPr>
        <w:t xml:space="preserve">Meanwhile under these circumstances, the President of Russian Federation and the Government adopted regulatory documents (decrees, dedicated </w:t>
      </w:r>
      <w:r w:rsidR="008A60C8" w:rsidRPr="00D575BC">
        <w:rPr>
          <w:i/>
          <w:sz w:val="24"/>
          <w:lang w:val="en-US"/>
        </w:rPr>
        <w:t>programs</w:t>
      </w:r>
      <w:r w:rsidR="00D575BC" w:rsidRPr="00D575BC">
        <w:rPr>
          <w:i/>
          <w:sz w:val="24"/>
          <w:lang w:val="en-US"/>
        </w:rPr>
        <w:t>) that determined the directions of state social policy on improving the situation with children in Russian Federation until 2000.</w:t>
      </w:r>
      <w:r w:rsidR="00D575BC">
        <w:rPr>
          <w:i/>
          <w:sz w:val="24"/>
          <w:lang w:val="en-US"/>
        </w:rPr>
        <w:t xml:space="preserve"> </w:t>
      </w:r>
      <w:r>
        <w:rPr>
          <w:b/>
          <w:bCs/>
          <w:i/>
          <w:iCs/>
          <w:sz w:val="24"/>
          <w:szCs w:val="24"/>
          <w:lang w:val="en-US"/>
        </w:rPr>
        <w:t>Objective</w:t>
      </w:r>
      <w:r w:rsidRPr="008A60C8">
        <w:rPr>
          <w:b/>
          <w:bCs/>
          <w:i/>
          <w:iCs/>
          <w:sz w:val="24"/>
          <w:szCs w:val="24"/>
          <w:lang w:val="en-US"/>
        </w:rPr>
        <w:t xml:space="preserve">. </w:t>
      </w:r>
      <w:r>
        <w:rPr>
          <w:b/>
          <w:bCs/>
          <w:i/>
          <w:iCs/>
          <w:sz w:val="24"/>
          <w:szCs w:val="24"/>
          <w:lang w:val="en-US"/>
        </w:rPr>
        <w:t>The</w:t>
      </w:r>
      <w:r w:rsidRPr="008A60C8">
        <w:rPr>
          <w:b/>
          <w:bCs/>
          <w:i/>
          <w:iCs/>
          <w:sz w:val="24"/>
          <w:szCs w:val="24"/>
          <w:lang w:val="en-US"/>
        </w:rPr>
        <w:t xml:space="preserve"> </w:t>
      </w:r>
      <w:r>
        <w:rPr>
          <w:b/>
          <w:bCs/>
          <w:i/>
          <w:iCs/>
          <w:sz w:val="24"/>
          <w:szCs w:val="24"/>
          <w:lang w:val="en-US"/>
        </w:rPr>
        <w:t>aim</w:t>
      </w:r>
      <w:r w:rsidRPr="008A60C8">
        <w:rPr>
          <w:b/>
          <w:bCs/>
          <w:i/>
          <w:iCs/>
          <w:sz w:val="24"/>
          <w:szCs w:val="24"/>
          <w:lang w:val="en-US"/>
        </w:rPr>
        <w:t xml:space="preserve"> </w:t>
      </w:r>
      <w:r>
        <w:rPr>
          <w:b/>
          <w:bCs/>
          <w:i/>
          <w:iCs/>
          <w:sz w:val="24"/>
          <w:szCs w:val="24"/>
          <w:lang w:val="en-US"/>
        </w:rPr>
        <w:t>of</w:t>
      </w:r>
      <w:r w:rsidRPr="008A60C8">
        <w:rPr>
          <w:b/>
          <w:bCs/>
          <w:i/>
          <w:iCs/>
          <w:sz w:val="24"/>
          <w:szCs w:val="24"/>
          <w:lang w:val="en-US"/>
        </w:rPr>
        <w:t xml:space="preserve"> </w:t>
      </w:r>
      <w:r>
        <w:rPr>
          <w:b/>
          <w:bCs/>
          <w:i/>
          <w:iCs/>
          <w:sz w:val="24"/>
          <w:szCs w:val="24"/>
          <w:lang w:val="en-US"/>
        </w:rPr>
        <w:t>the</w:t>
      </w:r>
      <w:r w:rsidRPr="008A60C8">
        <w:rPr>
          <w:b/>
          <w:bCs/>
          <w:i/>
          <w:iCs/>
          <w:sz w:val="24"/>
          <w:szCs w:val="24"/>
          <w:lang w:val="en-US"/>
        </w:rPr>
        <w:t xml:space="preserve"> </w:t>
      </w:r>
      <w:r>
        <w:rPr>
          <w:b/>
          <w:bCs/>
          <w:i/>
          <w:iCs/>
          <w:sz w:val="24"/>
          <w:szCs w:val="24"/>
          <w:lang w:val="en-US"/>
        </w:rPr>
        <w:t>study</w:t>
      </w:r>
      <w:r w:rsidRPr="008A60C8">
        <w:rPr>
          <w:b/>
          <w:bCs/>
          <w:i/>
          <w:iCs/>
          <w:sz w:val="24"/>
          <w:szCs w:val="24"/>
          <w:lang w:val="en-US"/>
        </w:rPr>
        <w:t xml:space="preserve"> </w:t>
      </w:r>
      <w:r>
        <w:rPr>
          <w:b/>
          <w:bCs/>
          <w:i/>
          <w:iCs/>
          <w:sz w:val="24"/>
          <w:szCs w:val="24"/>
          <w:lang w:val="en-US"/>
        </w:rPr>
        <w:t>is</w:t>
      </w:r>
      <w:r w:rsidRPr="008A60C8">
        <w:rPr>
          <w:b/>
          <w:bCs/>
          <w:i/>
          <w:iCs/>
          <w:sz w:val="24"/>
          <w:szCs w:val="24"/>
          <w:lang w:val="en-US"/>
        </w:rPr>
        <w:t xml:space="preserve"> </w:t>
      </w:r>
      <w:r>
        <w:rPr>
          <w:b/>
          <w:bCs/>
          <w:i/>
          <w:iCs/>
          <w:sz w:val="24"/>
          <w:szCs w:val="24"/>
          <w:lang w:val="en-US"/>
        </w:rPr>
        <w:t>to</w:t>
      </w:r>
      <w:r w:rsidRPr="008A60C8">
        <w:rPr>
          <w:i/>
          <w:sz w:val="24"/>
          <w:szCs w:val="24"/>
          <w:lang w:val="en-US"/>
        </w:rPr>
        <w:t xml:space="preserve"> </w:t>
      </w:r>
      <w:r w:rsidR="008A60C8" w:rsidRPr="008A60C8">
        <w:rPr>
          <w:i/>
          <w:sz w:val="24"/>
          <w:lang w:val="en-US"/>
        </w:rPr>
        <w:t>evaluate the dynamics of several medical and social indicators of 2018-2023 characterizing demographic trends direction, with proposals on improving medical care in the maternal and child health care system</w:t>
      </w:r>
      <w:r w:rsidR="00602037" w:rsidRPr="008A60C8">
        <w:rPr>
          <w:i/>
          <w:sz w:val="24"/>
          <w:lang w:val="en-US"/>
        </w:rPr>
        <w:t>.</w:t>
      </w:r>
      <w:r w:rsidR="009266F2" w:rsidRPr="008A60C8">
        <w:rPr>
          <w:b/>
          <w:i/>
          <w:sz w:val="24"/>
          <w:lang w:val="en-US"/>
        </w:rPr>
        <w:t xml:space="preserve"> </w:t>
      </w:r>
      <w:r>
        <w:rPr>
          <w:b/>
          <w:bCs/>
          <w:i/>
          <w:iCs/>
          <w:sz w:val="24"/>
          <w:szCs w:val="24"/>
          <w:lang w:val="en-US"/>
        </w:rPr>
        <w:t>Methods</w:t>
      </w:r>
      <w:r w:rsidR="009266F2" w:rsidRPr="008A60C8">
        <w:rPr>
          <w:b/>
          <w:i/>
          <w:sz w:val="24"/>
          <w:lang w:val="en-US"/>
        </w:rPr>
        <w:t>.</w:t>
      </w:r>
      <w:r w:rsidR="009266F2" w:rsidRPr="008A60C8">
        <w:rPr>
          <w:i/>
          <w:sz w:val="24"/>
          <w:lang w:val="en-US"/>
        </w:rPr>
        <w:t xml:space="preserve"> </w:t>
      </w:r>
      <w:r w:rsidR="00A32AC3" w:rsidRPr="00A32AC3">
        <w:rPr>
          <w:i/>
          <w:sz w:val="24"/>
          <w:lang w:val="en-US"/>
        </w:rPr>
        <w:t>The study has covered reporting form №19 of Russian Federal State Statistics Service (Rosstat) for children's outpatient clinics, form №14 for children's hospitals, form №030/</w:t>
      </w:r>
      <w:r w:rsidR="00A32AC3" w:rsidRPr="00A32AC3">
        <w:rPr>
          <w:i/>
          <w:sz w:val="24"/>
        </w:rPr>
        <w:t>у</w:t>
      </w:r>
      <w:r w:rsidR="00A32AC3" w:rsidRPr="00A32AC3">
        <w:rPr>
          <w:i/>
          <w:sz w:val="24"/>
          <w:lang w:val="en-US"/>
        </w:rPr>
        <w:t xml:space="preserve"> "Check-list of dispensary observation". The study has used the materials of the Presidential Coordination board meeting from November 15, 2016. Statistical data was obtained from the "Office of the Federal State Statistics Service for Saint Petersburg and the Leningrad Region" (Petrostat) and the Center for Analysis and Forecast of Mother and Child Health at Health Committee of Saint Petersburg, Medical Information and Analytical Center ("Major results in the field of health care in Saint Petersburg" from 2019, 2020 2021, 2022). </w:t>
      </w:r>
      <w:r w:rsidR="00EF4E0F" w:rsidRPr="00EF4E0F">
        <w:rPr>
          <w:i/>
          <w:sz w:val="24"/>
          <w:lang w:val="en-US"/>
        </w:rPr>
        <w:t xml:space="preserve">Statistical processing </w:t>
      </w:r>
      <w:r w:rsidR="00EF4E0F" w:rsidRPr="00EF4E0F">
        <w:rPr>
          <w:i/>
          <w:sz w:val="24"/>
          <w:lang w:val="en-US"/>
        </w:rPr>
        <w:lastRenderedPageBreak/>
        <w:t>was carried out via variational statistics methods (Pearson's criterion, Fisher's angular transformation criterion) and data from the automated system of prophylactic medical examination, registration certificate FSR №2009/05279, corresponding to the order of the Ministry of Health of Russian Federation №514n dated 10.08.2017.</w:t>
      </w:r>
      <w:r w:rsidR="00D740C7" w:rsidRPr="00EF4E0F">
        <w:rPr>
          <w:b/>
          <w:i/>
          <w:sz w:val="24"/>
          <w:lang w:val="en-US"/>
        </w:rPr>
        <w:t xml:space="preserve"> </w:t>
      </w:r>
      <w:r>
        <w:rPr>
          <w:b/>
          <w:bCs/>
          <w:i/>
          <w:iCs/>
          <w:sz w:val="24"/>
          <w:szCs w:val="24"/>
          <w:lang w:val="en-US"/>
        </w:rPr>
        <w:t>Results</w:t>
      </w:r>
      <w:r w:rsidR="00FB44BE" w:rsidRPr="002B1452">
        <w:rPr>
          <w:b/>
          <w:i/>
          <w:sz w:val="24"/>
          <w:lang w:val="en-US"/>
        </w:rPr>
        <w:t>.</w:t>
      </w:r>
      <w:r w:rsidR="00D740C7" w:rsidRPr="002B1452">
        <w:rPr>
          <w:i/>
          <w:sz w:val="24"/>
          <w:szCs w:val="24"/>
          <w:lang w:val="en-US"/>
        </w:rPr>
        <w:t xml:space="preserve"> </w:t>
      </w:r>
      <w:r w:rsidR="00CB6354" w:rsidRPr="00CB6354">
        <w:rPr>
          <w:i/>
          <w:sz w:val="24"/>
          <w:szCs w:val="24"/>
          <w:lang w:val="en-US"/>
        </w:rPr>
        <w:t>The analysis of study results confirms the negative demographic patterns in Saint Petersburg like the all-Russian. Increase assisted reproductive technologies was noted alongside with birth rate decrease. There are still high rates of stillbirth and perinatal mortality, as well as increased infant mortality rate. The correlation of depopulation processes with children's health worsening and increasing disability is emphasized.</w:t>
      </w:r>
      <w:r w:rsidR="00D740C7" w:rsidRPr="00CB6354">
        <w:rPr>
          <w:i/>
          <w:sz w:val="24"/>
          <w:szCs w:val="24"/>
          <w:lang w:val="en-US"/>
        </w:rPr>
        <w:t xml:space="preserve"> </w:t>
      </w:r>
      <w:r>
        <w:rPr>
          <w:b/>
          <w:bCs/>
          <w:i/>
          <w:iCs/>
          <w:sz w:val="24"/>
          <w:szCs w:val="24"/>
          <w:lang w:val="en-US"/>
        </w:rPr>
        <w:t>Conclusion</w:t>
      </w:r>
      <w:r w:rsidR="00C9322D" w:rsidRPr="00CB6354">
        <w:rPr>
          <w:b/>
          <w:i/>
          <w:sz w:val="24"/>
          <w:szCs w:val="24"/>
          <w:lang w:val="en-US"/>
        </w:rPr>
        <w:t xml:space="preserve">. </w:t>
      </w:r>
      <w:r w:rsidR="00CB6354" w:rsidRPr="00CB6354">
        <w:rPr>
          <w:i/>
          <w:sz w:val="24"/>
          <w:szCs w:val="24"/>
          <w:lang w:val="en-US"/>
        </w:rPr>
        <w:t>The problems raised in this paper do not have an straightforward solution and require multimodal approach.</w:t>
      </w:r>
    </w:p>
    <w:p w14:paraId="19C25ACF" w14:textId="6B656F7D" w:rsidR="00FB44BE" w:rsidRPr="00D32E8D" w:rsidRDefault="00D32E8D" w:rsidP="005748FB">
      <w:pPr>
        <w:pStyle w:val="a3"/>
        <w:spacing w:line="360" w:lineRule="auto"/>
        <w:jc w:val="both"/>
        <w:rPr>
          <w:i/>
          <w:sz w:val="24"/>
          <w:szCs w:val="24"/>
          <w:lang w:val="en-US"/>
        </w:rPr>
      </w:pPr>
      <w:r>
        <w:rPr>
          <w:b/>
          <w:i/>
          <w:sz w:val="24"/>
          <w:lang w:val="en-US"/>
        </w:rPr>
        <w:t>Keywords</w:t>
      </w:r>
      <w:r w:rsidR="00C9322D" w:rsidRPr="00D32E8D">
        <w:rPr>
          <w:b/>
          <w:i/>
          <w:sz w:val="24"/>
          <w:lang w:val="en-US"/>
        </w:rPr>
        <w:t>:</w:t>
      </w:r>
      <w:r w:rsidR="00C9322D" w:rsidRPr="00D32E8D">
        <w:rPr>
          <w:i/>
          <w:sz w:val="24"/>
          <w:szCs w:val="24"/>
          <w:lang w:val="en-US"/>
        </w:rPr>
        <w:t xml:space="preserve"> </w:t>
      </w:r>
      <w:r w:rsidRPr="00D32E8D">
        <w:rPr>
          <w:i/>
          <w:sz w:val="24"/>
          <w:szCs w:val="24"/>
          <w:lang w:val="en-US"/>
        </w:rPr>
        <w:t>birth rate</w:t>
      </w:r>
      <w:r w:rsidR="00FB44BE" w:rsidRPr="00D32E8D">
        <w:rPr>
          <w:i/>
          <w:sz w:val="24"/>
          <w:szCs w:val="24"/>
          <w:lang w:val="en-US"/>
        </w:rPr>
        <w:t xml:space="preserve">, </w:t>
      </w:r>
      <w:r w:rsidRPr="00D32E8D">
        <w:rPr>
          <w:i/>
          <w:sz w:val="24"/>
          <w:szCs w:val="24"/>
          <w:lang w:val="en-US"/>
        </w:rPr>
        <w:t>perinatal and infant mortality</w:t>
      </w:r>
      <w:r w:rsidR="00FB44BE" w:rsidRPr="00D32E8D">
        <w:rPr>
          <w:i/>
          <w:sz w:val="24"/>
          <w:szCs w:val="24"/>
          <w:lang w:val="en-US"/>
        </w:rPr>
        <w:t xml:space="preserve">, </w:t>
      </w:r>
      <w:r w:rsidRPr="00D32E8D">
        <w:rPr>
          <w:i/>
          <w:sz w:val="24"/>
          <w:szCs w:val="24"/>
          <w:lang w:val="en-US"/>
        </w:rPr>
        <w:t>stillbirth rate</w:t>
      </w:r>
      <w:r w:rsidR="00FB44BE" w:rsidRPr="00D32E8D">
        <w:rPr>
          <w:i/>
          <w:sz w:val="24"/>
          <w:szCs w:val="24"/>
          <w:lang w:val="en-US"/>
        </w:rPr>
        <w:t xml:space="preserve">, </w:t>
      </w:r>
      <w:r>
        <w:rPr>
          <w:i/>
          <w:sz w:val="24"/>
          <w:szCs w:val="24"/>
          <w:lang w:val="en-US"/>
        </w:rPr>
        <w:t>morbidity</w:t>
      </w:r>
      <w:r w:rsidR="00FB44BE" w:rsidRPr="00D32E8D">
        <w:rPr>
          <w:i/>
          <w:sz w:val="24"/>
          <w:szCs w:val="24"/>
          <w:lang w:val="en-US"/>
        </w:rPr>
        <w:t xml:space="preserve">, </w:t>
      </w:r>
      <w:r w:rsidRPr="00D32E8D">
        <w:rPr>
          <w:i/>
          <w:sz w:val="24"/>
          <w:szCs w:val="24"/>
          <w:lang w:val="en-US"/>
        </w:rPr>
        <w:t>disability</w:t>
      </w:r>
    </w:p>
    <w:p w14:paraId="600F2715" w14:textId="6C311FFB" w:rsidR="002B1452" w:rsidRPr="002B1452" w:rsidRDefault="002B1452" w:rsidP="002B1452">
      <w:pPr>
        <w:pStyle w:val="a3"/>
        <w:rPr>
          <w:sz w:val="24"/>
          <w:lang w:val="en-US"/>
        </w:rPr>
      </w:pPr>
      <w:r w:rsidRPr="002B1452">
        <w:rPr>
          <w:b/>
          <w:i/>
          <w:sz w:val="24"/>
          <w:lang w:val="en-US"/>
        </w:rPr>
        <w:t>For citation:</w:t>
      </w:r>
      <w:r w:rsidRPr="002B1452">
        <w:rPr>
          <w:sz w:val="24"/>
          <w:lang w:val="en-US"/>
        </w:rPr>
        <w:t xml:space="preserve"> Simakhodsky Anatoly S., Sevostyanova Ludmila D., Lukashоva Yulia V., Petrova Natalya V.,  Simakhodsky Oleg A.</w:t>
      </w:r>
      <w:r w:rsidRPr="002B1452">
        <w:rPr>
          <w:b/>
          <w:sz w:val="24"/>
          <w:lang w:val="en-US"/>
        </w:rPr>
        <w:t xml:space="preserve"> </w:t>
      </w:r>
      <w:r w:rsidRPr="002B1452">
        <w:rPr>
          <w:sz w:val="24"/>
          <w:lang w:val="en-US"/>
        </w:rPr>
        <w:t xml:space="preserve">Dynamics of Some Medical and Demographic Indicators in St. Petersburg During the Period from 2018 to 2023. </w:t>
      </w:r>
      <w:r w:rsidRPr="002B1452">
        <w:rPr>
          <w:i/>
          <w:sz w:val="24"/>
          <w:lang w:val="en-US"/>
        </w:rPr>
        <w:t>Voprosy sovremennoi pediatrii — Current Pediatrics</w:t>
      </w:r>
      <w:r w:rsidRPr="002B1452">
        <w:rPr>
          <w:sz w:val="24"/>
          <w:lang w:val="en-US"/>
        </w:rPr>
        <w:t>. 2024;23(3):</w:t>
      </w:r>
      <w:r w:rsidR="003510B9">
        <w:rPr>
          <w:sz w:val="24"/>
        </w:rPr>
        <w:t>168–173</w:t>
      </w:r>
      <w:r w:rsidRPr="002B1452">
        <w:rPr>
          <w:sz w:val="24"/>
          <w:lang w:val="en-US"/>
        </w:rPr>
        <w:t xml:space="preserve">. doi: </w:t>
      </w:r>
      <w:r w:rsidR="006E1E15" w:rsidRPr="006E1E15">
        <w:rPr>
          <w:sz w:val="24"/>
          <w:lang w:val="en-US"/>
        </w:rPr>
        <w:t>https://doi.org/10.15690/vsp.v23i3.2758</w:t>
      </w:r>
    </w:p>
    <w:p w14:paraId="7A119F95" w14:textId="3D114553" w:rsidR="002B1452" w:rsidRPr="002B1452" w:rsidRDefault="002B1452" w:rsidP="002B1452">
      <w:pPr>
        <w:pStyle w:val="a3"/>
        <w:spacing w:line="360" w:lineRule="auto"/>
        <w:jc w:val="both"/>
        <w:rPr>
          <w:b/>
          <w:sz w:val="24"/>
          <w:szCs w:val="24"/>
          <w:lang w:val="en-US"/>
        </w:rPr>
      </w:pPr>
    </w:p>
    <w:p w14:paraId="5D9A21A6" w14:textId="77777777" w:rsidR="001843EA" w:rsidRPr="00D32E8D" w:rsidRDefault="001843EA" w:rsidP="005748FB">
      <w:pPr>
        <w:pStyle w:val="a3"/>
        <w:spacing w:line="360" w:lineRule="auto"/>
        <w:jc w:val="both"/>
        <w:rPr>
          <w:sz w:val="24"/>
          <w:szCs w:val="24"/>
          <w:lang w:val="en-US"/>
        </w:rPr>
      </w:pPr>
    </w:p>
    <w:p w14:paraId="47E7851D" w14:textId="75F8AEC9" w:rsidR="005B75AB" w:rsidRPr="000768F1" w:rsidRDefault="000768F1" w:rsidP="005748FB">
      <w:pPr>
        <w:pStyle w:val="a3"/>
        <w:spacing w:line="360" w:lineRule="auto"/>
        <w:jc w:val="both"/>
        <w:rPr>
          <w:bCs/>
          <w:sz w:val="24"/>
          <w:szCs w:val="24"/>
          <w:lang w:val="en-US"/>
        </w:rPr>
      </w:pPr>
      <w:r>
        <w:rPr>
          <w:b/>
          <w:bCs/>
          <w:sz w:val="24"/>
          <w:szCs w:val="24"/>
          <w:lang w:val="en-US"/>
        </w:rPr>
        <w:t>Table</w:t>
      </w:r>
      <w:r w:rsidR="005B75AB" w:rsidRPr="000768F1">
        <w:rPr>
          <w:b/>
          <w:bCs/>
          <w:sz w:val="24"/>
          <w:szCs w:val="24"/>
          <w:lang w:val="en-US"/>
        </w:rPr>
        <w:t xml:space="preserve"> 1.</w:t>
      </w:r>
      <w:r w:rsidR="005B75AB" w:rsidRPr="000768F1">
        <w:rPr>
          <w:bCs/>
          <w:sz w:val="24"/>
          <w:szCs w:val="24"/>
          <w:lang w:val="en-US"/>
        </w:rPr>
        <w:t xml:space="preserve"> </w:t>
      </w:r>
      <w:r w:rsidRPr="000768F1">
        <w:rPr>
          <w:bCs/>
          <w:sz w:val="24"/>
          <w:szCs w:val="24"/>
          <w:lang w:val="en-US"/>
        </w:rPr>
        <w:t>Birth rates in Saint Petersburg in 2018-2023</w:t>
      </w:r>
    </w:p>
    <w:tbl>
      <w:tblPr>
        <w:tblW w:w="9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2420"/>
        <w:gridCol w:w="1134"/>
        <w:gridCol w:w="1134"/>
        <w:gridCol w:w="1134"/>
        <w:gridCol w:w="1063"/>
        <w:gridCol w:w="1063"/>
        <w:gridCol w:w="1063"/>
      </w:tblGrid>
      <w:tr w:rsidR="005B75AB" w:rsidRPr="002662AC" w14:paraId="43A9D927" w14:textId="77777777" w:rsidTr="000B2B6A">
        <w:trPr>
          <w:trHeight w:val="765"/>
        </w:trPr>
        <w:tc>
          <w:tcPr>
            <w:tcW w:w="665" w:type="dxa"/>
            <w:shd w:val="clear" w:color="auto" w:fill="auto"/>
          </w:tcPr>
          <w:p w14:paraId="17EA91FD" w14:textId="77777777" w:rsidR="005B75AB" w:rsidRPr="002662AC" w:rsidRDefault="005B75AB" w:rsidP="005748FB">
            <w:pPr>
              <w:pStyle w:val="a3"/>
              <w:spacing w:line="360" w:lineRule="auto"/>
              <w:jc w:val="both"/>
              <w:rPr>
                <w:b/>
                <w:sz w:val="24"/>
                <w:szCs w:val="24"/>
              </w:rPr>
            </w:pPr>
            <w:r w:rsidRPr="002662AC">
              <w:rPr>
                <w:b/>
                <w:sz w:val="24"/>
                <w:szCs w:val="24"/>
              </w:rPr>
              <w:t>№ п/п</w:t>
            </w:r>
          </w:p>
        </w:tc>
        <w:tc>
          <w:tcPr>
            <w:tcW w:w="2420" w:type="dxa"/>
            <w:tcBorders>
              <w:tl2br w:val="single" w:sz="4" w:space="0" w:color="auto"/>
            </w:tcBorders>
            <w:shd w:val="clear" w:color="auto" w:fill="auto"/>
          </w:tcPr>
          <w:p w14:paraId="24363BEE" w14:textId="14CD27CC" w:rsidR="005B75AB" w:rsidRPr="000768F1" w:rsidRDefault="000768F1" w:rsidP="005748FB">
            <w:pPr>
              <w:pStyle w:val="a3"/>
              <w:spacing w:line="360" w:lineRule="auto"/>
              <w:jc w:val="both"/>
              <w:rPr>
                <w:b/>
                <w:sz w:val="24"/>
                <w:szCs w:val="24"/>
                <w:lang w:val="en-US"/>
              </w:rPr>
            </w:pPr>
            <w:r>
              <w:rPr>
                <w:b/>
                <w:sz w:val="24"/>
                <w:lang w:val="en-US"/>
              </w:rPr>
              <w:t>Years</w:t>
            </w:r>
          </w:p>
          <w:p w14:paraId="4FA5E404" w14:textId="2DDC5CEE" w:rsidR="005B75AB" w:rsidRPr="000768F1" w:rsidRDefault="000768F1" w:rsidP="005748FB">
            <w:pPr>
              <w:pStyle w:val="a3"/>
              <w:spacing w:line="360" w:lineRule="auto"/>
              <w:jc w:val="both"/>
              <w:rPr>
                <w:sz w:val="24"/>
                <w:szCs w:val="24"/>
                <w:lang w:val="en-US"/>
              </w:rPr>
            </w:pPr>
            <w:r>
              <w:rPr>
                <w:b/>
                <w:sz w:val="24"/>
                <w:szCs w:val="24"/>
                <w:lang w:val="en-US"/>
              </w:rPr>
              <w:t>Indicators</w:t>
            </w:r>
          </w:p>
        </w:tc>
        <w:tc>
          <w:tcPr>
            <w:tcW w:w="1134" w:type="dxa"/>
            <w:shd w:val="clear" w:color="auto" w:fill="auto"/>
          </w:tcPr>
          <w:p w14:paraId="2A293D07" w14:textId="77777777" w:rsidR="005B75AB" w:rsidRPr="002662AC" w:rsidRDefault="005B75AB" w:rsidP="005748FB">
            <w:pPr>
              <w:pStyle w:val="a3"/>
              <w:spacing w:line="360" w:lineRule="auto"/>
              <w:jc w:val="both"/>
              <w:rPr>
                <w:b/>
                <w:sz w:val="24"/>
                <w:szCs w:val="24"/>
              </w:rPr>
            </w:pPr>
            <w:r w:rsidRPr="002662AC">
              <w:rPr>
                <w:b/>
                <w:sz w:val="24"/>
                <w:szCs w:val="24"/>
              </w:rPr>
              <w:t>2018</w:t>
            </w:r>
          </w:p>
        </w:tc>
        <w:tc>
          <w:tcPr>
            <w:tcW w:w="1134" w:type="dxa"/>
            <w:shd w:val="clear" w:color="auto" w:fill="auto"/>
          </w:tcPr>
          <w:p w14:paraId="0B170BA4" w14:textId="77777777" w:rsidR="005B75AB" w:rsidRPr="002662AC" w:rsidRDefault="005B75AB" w:rsidP="005748FB">
            <w:pPr>
              <w:pStyle w:val="a3"/>
              <w:spacing w:line="360" w:lineRule="auto"/>
              <w:jc w:val="both"/>
              <w:rPr>
                <w:b/>
                <w:sz w:val="24"/>
                <w:szCs w:val="24"/>
              </w:rPr>
            </w:pPr>
            <w:r w:rsidRPr="002662AC">
              <w:rPr>
                <w:b/>
                <w:sz w:val="24"/>
                <w:szCs w:val="24"/>
              </w:rPr>
              <w:t>2019</w:t>
            </w:r>
          </w:p>
        </w:tc>
        <w:tc>
          <w:tcPr>
            <w:tcW w:w="1134" w:type="dxa"/>
            <w:shd w:val="clear" w:color="auto" w:fill="auto"/>
          </w:tcPr>
          <w:p w14:paraId="0E263ABE" w14:textId="77777777" w:rsidR="005B75AB" w:rsidRPr="002662AC" w:rsidRDefault="005B75AB" w:rsidP="005748FB">
            <w:pPr>
              <w:pStyle w:val="a3"/>
              <w:spacing w:line="360" w:lineRule="auto"/>
              <w:jc w:val="both"/>
              <w:rPr>
                <w:b/>
                <w:sz w:val="24"/>
                <w:szCs w:val="24"/>
              </w:rPr>
            </w:pPr>
            <w:r w:rsidRPr="002662AC">
              <w:rPr>
                <w:b/>
                <w:sz w:val="24"/>
                <w:szCs w:val="24"/>
              </w:rPr>
              <w:t>2020</w:t>
            </w:r>
          </w:p>
        </w:tc>
        <w:tc>
          <w:tcPr>
            <w:tcW w:w="1063" w:type="dxa"/>
            <w:shd w:val="clear" w:color="auto" w:fill="auto"/>
          </w:tcPr>
          <w:p w14:paraId="6BA84C49" w14:textId="77777777" w:rsidR="005B75AB" w:rsidRPr="002662AC" w:rsidRDefault="005B75AB" w:rsidP="005748FB">
            <w:pPr>
              <w:pStyle w:val="a3"/>
              <w:spacing w:line="360" w:lineRule="auto"/>
              <w:jc w:val="both"/>
              <w:rPr>
                <w:b/>
                <w:sz w:val="24"/>
                <w:szCs w:val="24"/>
              </w:rPr>
            </w:pPr>
            <w:r w:rsidRPr="002662AC">
              <w:rPr>
                <w:b/>
                <w:sz w:val="24"/>
                <w:szCs w:val="24"/>
              </w:rPr>
              <w:t>2021</w:t>
            </w:r>
          </w:p>
        </w:tc>
        <w:tc>
          <w:tcPr>
            <w:tcW w:w="1063" w:type="dxa"/>
            <w:shd w:val="clear" w:color="auto" w:fill="auto"/>
          </w:tcPr>
          <w:p w14:paraId="32836E61" w14:textId="77777777" w:rsidR="005B75AB" w:rsidRPr="002662AC" w:rsidRDefault="005B75AB" w:rsidP="005748FB">
            <w:pPr>
              <w:pStyle w:val="a3"/>
              <w:spacing w:line="360" w:lineRule="auto"/>
              <w:jc w:val="both"/>
              <w:rPr>
                <w:b/>
                <w:sz w:val="24"/>
                <w:szCs w:val="24"/>
              </w:rPr>
            </w:pPr>
            <w:r w:rsidRPr="002662AC">
              <w:rPr>
                <w:b/>
                <w:sz w:val="24"/>
                <w:szCs w:val="24"/>
              </w:rPr>
              <w:t>2022</w:t>
            </w:r>
          </w:p>
        </w:tc>
        <w:tc>
          <w:tcPr>
            <w:tcW w:w="1063" w:type="dxa"/>
            <w:shd w:val="clear" w:color="auto" w:fill="auto"/>
          </w:tcPr>
          <w:p w14:paraId="772E3B67" w14:textId="77777777" w:rsidR="005B75AB" w:rsidRPr="002662AC" w:rsidRDefault="005B75AB" w:rsidP="005748FB">
            <w:pPr>
              <w:pStyle w:val="a3"/>
              <w:spacing w:line="360" w:lineRule="auto"/>
              <w:jc w:val="both"/>
              <w:rPr>
                <w:b/>
                <w:sz w:val="24"/>
                <w:szCs w:val="24"/>
              </w:rPr>
            </w:pPr>
            <w:r w:rsidRPr="002662AC">
              <w:rPr>
                <w:b/>
                <w:sz w:val="24"/>
                <w:szCs w:val="24"/>
              </w:rPr>
              <w:t>2</w:t>
            </w:r>
            <w:r w:rsidR="00C11590" w:rsidRPr="002662AC">
              <w:rPr>
                <w:b/>
                <w:sz w:val="24"/>
                <w:szCs w:val="24"/>
              </w:rPr>
              <w:t>023</w:t>
            </w:r>
          </w:p>
        </w:tc>
      </w:tr>
      <w:tr w:rsidR="005B75AB" w:rsidRPr="002662AC" w14:paraId="7A5FED33" w14:textId="77777777" w:rsidTr="00D85DDE">
        <w:trPr>
          <w:trHeight w:val="1222"/>
        </w:trPr>
        <w:tc>
          <w:tcPr>
            <w:tcW w:w="665" w:type="dxa"/>
            <w:shd w:val="clear" w:color="auto" w:fill="auto"/>
          </w:tcPr>
          <w:p w14:paraId="65FC7506" w14:textId="77777777" w:rsidR="005B75AB" w:rsidRPr="002662AC" w:rsidRDefault="005B75AB" w:rsidP="005748FB">
            <w:pPr>
              <w:pStyle w:val="a3"/>
              <w:spacing w:line="360" w:lineRule="auto"/>
              <w:jc w:val="both"/>
              <w:rPr>
                <w:b/>
                <w:sz w:val="24"/>
                <w:szCs w:val="24"/>
              </w:rPr>
            </w:pPr>
            <w:r w:rsidRPr="002662AC">
              <w:rPr>
                <w:b/>
                <w:sz w:val="24"/>
                <w:szCs w:val="24"/>
              </w:rPr>
              <w:t>1.</w:t>
            </w:r>
          </w:p>
        </w:tc>
        <w:tc>
          <w:tcPr>
            <w:tcW w:w="2420" w:type="dxa"/>
            <w:shd w:val="clear" w:color="auto" w:fill="auto"/>
          </w:tcPr>
          <w:p w14:paraId="21224870" w14:textId="1A3E43F8" w:rsidR="005B75AB" w:rsidRPr="002662AC" w:rsidRDefault="000768F1" w:rsidP="005748FB">
            <w:pPr>
              <w:pStyle w:val="a3"/>
              <w:spacing w:line="360" w:lineRule="auto"/>
              <w:jc w:val="both"/>
              <w:rPr>
                <w:sz w:val="24"/>
                <w:szCs w:val="24"/>
              </w:rPr>
            </w:pPr>
            <w:r w:rsidRPr="000768F1">
              <w:rPr>
                <w:sz w:val="24"/>
                <w:szCs w:val="24"/>
              </w:rPr>
              <w:t>Number of births</w:t>
            </w:r>
            <w:r w:rsidR="001843EA">
              <w:rPr>
                <w:sz w:val="24"/>
                <w:szCs w:val="24"/>
              </w:rPr>
              <w:t>,</w:t>
            </w:r>
            <w:r w:rsidR="005B75AB" w:rsidRPr="002662AC">
              <w:rPr>
                <w:sz w:val="24"/>
                <w:szCs w:val="24"/>
              </w:rPr>
              <w:t xml:space="preserve"> </w:t>
            </w:r>
            <w:r>
              <w:rPr>
                <w:sz w:val="24"/>
                <w:szCs w:val="24"/>
                <w:lang w:val="en-US"/>
              </w:rPr>
              <w:t>abs</w:t>
            </w:r>
            <w:r w:rsidR="005B75AB" w:rsidRPr="002662AC">
              <w:rPr>
                <w:sz w:val="24"/>
                <w:szCs w:val="24"/>
              </w:rPr>
              <w:t>.</w:t>
            </w:r>
          </w:p>
        </w:tc>
        <w:tc>
          <w:tcPr>
            <w:tcW w:w="1134" w:type="dxa"/>
            <w:shd w:val="clear" w:color="auto" w:fill="auto"/>
          </w:tcPr>
          <w:p w14:paraId="3B41C1B0" w14:textId="77777777" w:rsidR="005B75AB" w:rsidRPr="000B2B6A" w:rsidRDefault="005B75AB" w:rsidP="005748FB">
            <w:pPr>
              <w:pStyle w:val="a3"/>
              <w:spacing w:line="360" w:lineRule="auto"/>
              <w:jc w:val="both"/>
              <w:rPr>
                <w:sz w:val="24"/>
                <w:szCs w:val="24"/>
              </w:rPr>
            </w:pPr>
            <w:r w:rsidRPr="000B2B6A">
              <w:rPr>
                <w:sz w:val="24"/>
                <w:szCs w:val="24"/>
              </w:rPr>
              <w:t>63990</w:t>
            </w:r>
          </w:p>
        </w:tc>
        <w:tc>
          <w:tcPr>
            <w:tcW w:w="1134" w:type="dxa"/>
            <w:shd w:val="clear" w:color="auto" w:fill="auto"/>
          </w:tcPr>
          <w:p w14:paraId="64B03DF9" w14:textId="77777777" w:rsidR="005B75AB" w:rsidRPr="000B2B6A" w:rsidRDefault="005B75AB" w:rsidP="005748FB">
            <w:pPr>
              <w:pStyle w:val="a3"/>
              <w:spacing w:line="360" w:lineRule="auto"/>
              <w:jc w:val="both"/>
              <w:rPr>
                <w:sz w:val="24"/>
                <w:szCs w:val="24"/>
              </w:rPr>
            </w:pPr>
            <w:r w:rsidRPr="000B2B6A">
              <w:rPr>
                <w:sz w:val="24"/>
                <w:szCs w:val="24"/>
              </w:rPr>
              <w:t>56007</w:t>
            </w:r>
          </w:p>
        </w:tc>
        <w:tc>
          <w:tcPr>
            <w:tcW w:w="1134" w:type="dxa"/>
            <w:shd w:val="clear" w:color="auto" w:fill="auto"/>
          </w:tcPr>
          <w:p w14:paraId="58466CC5" w14:textId="77777777" w:rsidR="005B75AB" w:rsidRPr="000B2B6A" w:rsidRDefault="005B75AB" w:rsidP="005748FB">
            <w:pPr>
              <w:pStyle w:val="a3"/>
              <w:spacing w:line="360" w:lineRule="auto"/>
              <w:jc w:val="both"/>
              <w:rPr>
                <w:sz w:val="24"/>
                <w:szCs w:val="24"/>
              </w:rPr>
            </w:pPr>
            <w:r w:rsidRPr="000B2B6A">
              <w:rPr>
                <w:sz w:val="24"/>
                <w:szCs w:val="24"/>
              </w:rPr>
              <w:t>55350</w:t>
            </w:r>
          </w:p>
        </w:tc>
        <w:tc>
          <w:tcPr>
            <w:tcW w:w="1063" w:type="dxa"/>
            <w:shd w:val="clear" w:color="auto" w:fill="auto"/>
          </w:tcPr>
          <w:p w14:paraId="20C7B050" w14:textId="77777777" w:rsidR="005B75AB" w:rsidRPr="000B2B6A" w:rsidRDefault="005B75AB" w:rsidP="005748FB">
            <w:pPr>
              <w:pStyle w:val="a3"/>
              <w:spacing w:line="360" w:lineRule="auto"/>
              <w:jc w:val="both"/>
              <w:rPr>
                <w:sz w:val="24"/>
                <w:szCs w:val="24"/>
              </w:rPr>
            </w:pPr>
            <w:r w:rsidRPr="000B2B6A">
              <w:rPr>
                <w:sz w:val="24"/>
                <w:szCs w:val="24"/>
              </w:rPr>
              <w:t>53347</w:t>
            </w:r>
          </w:p>
        </w:tc>
        <w:tc>
          <w:tcPr>
            <w:tcW w:w="1063" w:type="dxa"/>
            <w:shd w:val="clear" w:color="auto" w:fill="auto"/>
          </w:tcPr>
          <w:p w14:paraId="27C3B25F" w14:textId="77777777" w:rsidR="005B75AB" w:rsidRPr="000B2B6A" w:rsidRDefault="005B75AB" w:rsidP="005748FB">
            <w:pPr>
              <w:pStyle w:val="a3"/>
              <w:spacing w:line="360" w:lineRule="auto"/>
              <w:jc w:val="both"/>
              <w:rPr>
                <w:sz w:val="24"/>
                <w:szCs w:val="24"/>
              </w:rPr>
            </w:pPr>
            <w:r w:rsidRPr="000B2B6A">
              <w:rPr>
                <w:sz w:val="24"/>
                <w:szCs w:val="24"/>
              </w:rPr>
              <w:t>50437</w:t>
            </w:r>
          </w:p>
        </w:tc>
        <w:tc>
          <w:tcPr>
            <w:tcW w:w="1063" w:type="dxa"/>
            <w:shd w:val="clear" w:color="auto" w:fill="auto"/>
          </w:tcPr>
          <w:p w14:paraId="199EC107" w14:textId="77777777" w:rsidR="005B75AB" w:rsidRPr="000B2B6A" w:rsidRDefault="005B75AB" w:rsidP="005748FB">
            <w:pPr>
              <w:pStyle w:val="a3"/>
              <w:spacing w:line="360" w:lineRule="auto"/>
              <w:jc w:val="both"/>
              <w:rPr>
                <w:sz w:val="24"/>
                <w:szCs w:val="24"/>
              </w:rPr>
            </w:pPr>
            <w:r w:rsidRPr="000B2B6A">
              <w:rPr>
                <w:sz w:val="24"/>
                <w:szCs w:val="24"/>
              </w:rPr>
              <w:t>50251</w:t>
            </w:r>
          </w:p>
        </w:tc>
      </w:tr>
      <w:tr w:rsidR="005B75AB" w:rsidRPr="002662AC" w14:paraId="11B318A8" w14:textId="77777777" w:rsidTr="00D85DDE">
        <w:tc>
          <w:tcPr>
            <w:tcW w:w="665" w:type="dxa"/>
            <w:shd w:val="clear" w:color="auto" w:fill="auto"/>
          </w:tcPr>
          <w:p w14:paraId="4D1BBE8E" w14:textId="77777777" w:rsidR="005B75AB" w:rsidRPr="002662AC" w:rsidRDefault="005B75AB" w:rsidP="005748FB">
            <w:pPr>
              <w:pStyle w:val="a3"/>
              <w:spacing w:line="360" w:lineRule="auto"/>
              <w:jc w:val="both"/>
              <w:rPr>
                <w:b/>
                <w:sz w:val="24"/>
                <w:szCs w:val="24"/>
              </w:rPr>
            </w:pPr>
            <w:r w:rsidRPr="002662AC">
              <w:rPr>
                <w:b/>
                <w:sz w:val="24"/>
                <w:szCs w:val="24"/>
              </w:rPr>
              <w:t>2.</w:t>
            </w:r>
          </w:p>
        </w:tc>
        <w:tc>
          <w:tcPr>
            <w:tcW w:w="2420" w:type="dxa"/>
            <w:shd w:val="clear" w:color="auto" w:fill="auto"/>
          </w:tcPr>
          <w:p w14:paraId="3C6A1F55" w14:textId="66F15FE3" w:rsidR="005B75AB" w:rsidRPr="000768F1" w:rsidRDefault="000768F1" w:rsidP="005748FB">
            <w:pPr>
              <w:pStyle w:val="a3"/>
              <w:spacing w:line="360" w:lineRule="auto"/>
              <w:jc w:val="both"/>
              <w:rPr>
                <w:sz w:val="24"/>
                <w:szCs w:val="24"/>
                <w:lang w:val="en-US"/>
              </w:rPr>
            </w:pPr>
            <w:r w:rsidRPr="000768F1">
              <w:rPr>
                <w:sz w:val="24"/>
                <w:szCs w:val="24"/>
                <w:lang w:val="en-US"/>
              </w:rPr>
              <w:t>Of these, using ART</w:t>
            </w:r>
            <w:r w:rsidR="001843EA" w:rsidRPr="000768F1">
              <w:rPr>
                <w:sz w:val="24"/>
                <w:szCs w:val="24"/>
                <w:lang w:val="en-US"/>
              </w:rPr>
              <w:t>,</w:t>
            </w:r>
            <w:r w:rsidR="005B75AB" w:rsidRPr="000768F1">
              <w:rPr>
                <w:sz w:val="24"/>
                <w:szCs w:val="24"/>
                <w:lang w:val="en-US"/>
              </w:rPr>
              <w:t xml:space="preserve"> </w:t>
            </w:r>
            <w:r>
              <w:rPr>
                <w:sz w:val="24"/>
                <w:szCs w:val="24"/>
                <w:lang w:val="en-US"/>
              </w:rPr>
              <w:t>abs</w:t>
            </w:r>
            <w:r w:rsidR="005B75AB" w:rsidRPr="000768F1">
              <w:rPr>
                <w:sz w:val="24"/>
                <w:szCs w:val="24"/>
                <w:lang w:val="en-US"/>
              </w:rPr>
              <w:t>./%</w:t>
            </w:r>
          </w:p>
        </w:tc>
        <w:tc>
          <w:tcPr>
            <w:tcW w:w="1134" w:type="dxa"/>
            <w:shd w:val="clear" w:color="auto" w:fill="auto"/>
          </w:tcPr>
          <w:p w14:paraId="4E40E03C" w14:textId="77777777" w:rsidR="005B75AB" w:rsidRPr="000B2B6A" w:rsidRDefault="005B75AB" w:rsidP="005748FB">
            <w:pPr>
              <w:pStyle w:val="a3"/>
              <w:spacing w:line="360" w:lineRule="auto"/>
              <w:jc w:val="both"/>
              <w:rPr>
                <w:sz w:val="24"/>
                <w:szCs w:val="24"/>
              </w:rPr>
            </w:pPr>
            <w:r w:rsidRPr="000B2B6A">
              <w:rPr>
                <w:sz w:val="24"/>
                <w:szCs w:val="24"/>
              </w:rPr>
              <w:t>3007/4,7</w:t>
            </w:r>
          </w:p>
        </w:tc>
        <w:tc>
          <w:tcPr>
            <w:tcW w:w="1134" w:type="dxa"/>
            <w:shd w:val="clear" w:color="auto" w:fill="auto"/>
          </w:tcPr>
          <w:p w14:paraId="29E74E44" w14:textId="77777777" w:rsidR="005B75AB" w:rsidRPr="000B2B6A" w:rsidRDefault="005B75AB" w:rsidP="005748FB">
            <w:pPr>
              <w:pStyle w:val="a3"/>
              <w:spacing w:line="360" w:lineRule="auto"/>
              <w:jc w:val="both"/>
              <w:rPr>
                <w:sz w:val="24"/>
                <w:szCs w:val="24"/>
              </w:rPr>
            </w:pPr>
            <w:r w:rsidRPr="000B2B6A">
              <w:rPr>
                <w:sz w:val="24"/>
                <w:szCs w:val="24"/>
              </w:rPr>
              <w:t>2720/4,6</w:t>
            </w:r>
          </w:p>
        </w:tc>
        <w:tc>
          <w:tcPr>
            <w:tcW w:w="1134" w:type="dxa"/>
            <w:shd w:val="clear" w:color="auto" w:fill="auto"/>
          </w:tcPr>
          <w:p w14:paraId="29B252D5" w14:textId="77777777" w:rsidR="005B75AB" w:rsidRPr="000B2B6A" w:rsidRDefault="005B75AB" w:rsidP="005748FB">
            <w:pPr>
              <w:pStyle w:val="a3"/>
              <w:spacing w:line="360" w:lineRule="auto"/>
              <w:jc w:val="both"/>
              <w:rPr>
                <w:sz w:val="24"/>
                <w:szCs w:val="24"/>
              </w:rPr>
            </w:pPr>
            <w:r w:rsidRPr="000B2B6A">
              <w:rPr>
                <w:sz w:val="24"/>
                <w:szCs w:val="24"/>
              </w:rPr>
              <w:t>2646/4,8</w:t>
            </w:r>
          </w:p>
        </w:tc>
        <w:tc>
          <w:tcPr>
            <w:tcW w:w="1063" w:type="dxa"/>
            <w:shd w:val="clear" w:color="auto" w:fill="auto"/>
          </w:tcPr>
          <w:p w14:paraId="39207DD6" w14:textId="77777777" w:rsidR="005B75AB" w:rsidRPr="000B2B6A" w:rsidRDefault="005B75AB" w:rsidP="005748FB">
            <w:pPr>
              <w:pStyle w:val="a3"/>
              <w:spacing w:line="360" w:lineRule="auto"/>
              <w:jc w:val="both"/>
              <w:rPr>
                <w:sz w:val="24"/>
                <w:szCs w:val="24"/>
              </w:rPr>
            </w:pPr>
            <w:r w:rsidRPr="000B2B6A">
              <w:rPr>
                <w:sz w:val="24"/>
                <w:szCs w:val="24"/>
              </w:rPr>
              <w:t>2414/4,5</w:t>
            </w:r>
          </w:p>
        </w:tc>
        <w:tc>
          <w:tcPr>
            <w:tcW w:w="1063" w:type="dxa"/>
            <w:shd w:val="clear" w:color="auto" w:fill="auto"/>
          </w:tcPr>
          <w:p w14:paraId="2E884705" w14:textId="77777777" w:rsidR="005B75AB" w:rsidRPr="000B2B6A" w:rsidRDefault="005B75AB" w:rsidP="005748FB">
            <w:pPr>
              <w:pStyle w:val="a3"/>
              <w:spacing w:line="360" w:lineRule="auto"/>
              <w:jc w:val="both"/>
              <w:rPr>
                <w:sz w:val="24"/>
                <w:szCs w:val="24"/>
              </w:rPr>
            </w:pPr>
            <w:r w:rsidRPr="000B2B6A">
              <w:rPr>
                <w:sz w:val="24"/>
                <w:szCs w:val="24"/>
              </w:rPr>
              <w:t>2484/4,9</w:t>
            </w:r>
          </w:p>
        </w:tc>
        <w:tc>
          <w:tcPr>
            <w:tcW w:w="1063" w:type="dxa"/>
            <w:shd w:val="clear" w:color="auto" w:fill="auto"/>
          </w:tcPr>
          <w:p w14:paraId="3D196136" w14:textId="77777777" w:rsidR="005B75AB" w:rsidRPr="000B2B6A" w:rsidRDefault="005B75AB" w:rsidP="005748FB">
            <w:pPr>
              <w:pStyle w:val="a3"/>
              <w:spacing w:line="360" w:lineRule="auto"/>
              <w:jc w:val="both"/>
              <w:rPr>
                <w:sz w:val="24"/>
                <w:szCs w:val="24"/>
              </w:rPr>
            </w:pPr>
            <w:r w:rsidRPr="000B2B6A">
              <w:rPr>
                <w:sz w:val="24"/>
                <w:szCs w:val="24"/>
              </w:rPr>
              <w:t>2699/5,4</w:t>
            </w:r>
          </w:p>
        </w:tc>
      </w:tr>
      <w:tr w:rsidR="005B75AB" w:rsidRPr="002662AC" w14:paraId="5721ED54" w14:textId="77777777" w:rsidTr="00D85DDE">
        <w:tc>
          <w:tcPr>
            <w:tcW w:w="665" w:type="dxa"/>
            <w:shd w:val="clear" w:color="auto" w:fill="auto"/>
          </w:tcPr>
          <w:p w14:paraId="1EC595D0" w14:textId="77777777" w:rsidR="005B75AB" w:rsidRPr="002662AC" w:rsidRDefault="005B75AB" w:rsidP="005748FB">
            <w:pPr>
              <w:pStyle w:val="a3"/>
              <w:spacing w:line="360" w:lineRule="auto"/>
              <w:jc w:val="both"/>
              <w:rPr>
                <w:b/>
                <w:sz w:val="24"/>
                <w:szCs w:val="24"/>
              </w:rPr>
            </w:pPr>
            <w:r w:rsidRPr="002662AC">
              <w:rPr>
                <w:b/>
                <w:sz w:val="24"/>
                <w:szCs w:val="24"/>
              </w:rPr>
              <w:t>3.</w:t>
            </w:r>
          </w:p>
        </w:tc>
        <w:tc>
          <w:tcPr>
            <w:tcW w:w="2420" w:type="dxa"/>
            <w:shd w:val="clear" w:color="auto" w:fill="auto"/>
          </w:tcPr>
          <w:p w14:paraId="1D11098E" w14:textId="0962805B" w:rsidR="005B75AB" w:rsidRPr="002662AC" w:rsidRDefault="000768F1" w:rsidP="005748FB">
            <w:pPr>
              <w:pStyle w:val="a3"/>
              <w:spacing w:line="360" w:lineRule="auto"/>
              <w:jc w:val="both"/>
              <w:rPr>
                <w:sz w:val="24"/>
                <w:szCs w:val="24"/>
              </w:rPr>
            </w:pPr>
            <w:r w:rsidRPr="000768F1">
              <w:rPr>
                <w:sz w:val="24"/>
                <w:szCs w:val="24"/>
              </w:rPr>
              <w:t>Birth rate (per 1000)</w:t>
            </w:r>
          </w:p>
        </w:tc>
        <w:tc>
          <w:tcPr>
            <w:tcW w:w="1134" w:type="dxa"/>
            <w:shd w:val="clear" w:color="auto" w:fill="auto"/>
          </w:tcPr>
          <w:p w14:paraId="31A860E2" w14:textId="77777777" w:rsidR="005B75AB" w:rsidRPr="000B2B6A" w:rsidRDefault="005B75AB" w:rsidP="005748FB">
            <w:pPr>
              <w:pStyle w:val="a3"/>
              <w:spacing w:line="360" w:lineRule="auto"/>
              <w:jc w:val="both"/>
              <w:rPr>
                <w:sz w:val="24"/>
                <w:szCs w:val="24"/>
              </w:rPr>
            </w:pPr>
            <w:r w:rsidRPr="000B2B6A">
              <w:rPr>
                <w:sz w:val="24"/>
                <w:szCs w:val="24"/>
              </w:rPr>
              <w:t>12,0</w:t>
            </w:r>
          </w:p>
        </w:tc>
        <w:tc>
          <w:tcPr>
            <w:tcW w:w="1134" w:type="dxa"/>
            <w:shd w:val="clear" w:color="auto" w:fill="auto"/>
          </w:tcPr>
          <w:p w14:paraId="23997ED7" w14:textId="77777777" w:rsidR="005B75AB" w:rsidRPr="000B2B6A" w:rsidRDefault="005B75AB" w:rsidP="005748FB">
            <w:pPr>
              <w:pStyle w:val="a3"/>
              <w:spacing w:line="360" w:lineRule="auto"/>
              <w:jc w:val="both"/>
              <w:rPr>
                <w:sz w:val="24"/>
                <w:szCs w:val="24"/>
              </w:rPr>
            </w:pPr>
            <w:r w:rsidRPr="000B2B6A">
              <w:rPr>
                <w:sz w:val="24"/>
                <w:szCs w:val="24"/>
              </w:rPr>
              <w:t>11,0</w:t>
            </w:r>
          </w:p>
        </w:tc>
        <w:tc>
          <w:tcPr>
            <w:tcW w:w="1134" w:type="dxa"/>
            <w:shd w:val="clear" w:color="auto" w:fill="auto"/>
          </w:tcPr>
          <w:p w14:paraId="52A3D58C" w14:textId="77777777" w:rsidR="005B75AB" w:rsidRPr="000B2B6A" w:rsidRDefault="005B75AB" w:rsidP="005748FB">
            <w:pPr>
              <w:pStyle w:val="a3"/>
              <w:spacing w:line="360" w:lineRule="auto"/>
              <w:jc w:val="both"/>
              <w:rPr>
                <w:sz w:val="24"/>
                <w:szCs w:val="24"/>
              </w:rPr>
            </w:pPr>
            <w:r w:rsidRPr="000B2B6A">
              <w:rPr>
                <w:sz w:val="24"/>
                <w:szCs w:val="24"/>
              </w:rPr>
              <w:t>10,3</w:t>
            </w:r>
          </w:p>
        </w:tc>
        <w:tc>
          <w:tcPr>
            <w:tcW w:w="1063" w:type="dxa"/>
            <w:shd w:val="clear" w:color="auto" w:fill="auto"/>
          </w:tcPr>
          <w:p w14:paraId="724434B9" w14:textId="77777777" w:rsidR="005B75AB" w:rsidRPr="000B2B6A" w:rsidRDefault="005B75AB" w:rsidP="005748FB">
            <w:pPr>
              <w:pStyle w:val="a3"/>
              <w:spacing w:line="360" w:lineRule="auto"/>
              <w:jc w:val="both"/>
              <w:rPr>
                <w:sz w:val="24"/>
                <w:szCs w:val="24"/>
              </w:rPr>
            </w:pPr>
            <w:r w:rsidRPr="000B2B6A">
              <w:rPr>
                <w:sz w:val="24"/>
                <w:szCs w:val="24"/>
              </w:rPr>
              <w:t>9,9</w:t>
            </w:r>
          </w:p>
        </w:tc>
        <w:tc>
          <w:tcPr>
            <w:tcW w:w="1063" w:type="dxa"/>
            <w:shd w:val="clear" w:color="auto" w:fill="auto"/>
          </w:tcPr>
          <w:p w14:paraId="3DA78762" w14:textId="77777777" w:rsidR="005B75AB" w:rsidRPr="000B2B6A" w:rsidRDefault="005B75AB" w:rsidP="005748FB">
            <w:pPr>
              <w:pStyle w:val="a3"/>
              <w:spacing w:line="360" w:lineRule="auto"/>
              <w:jc w:val="both"/>
              <w:rPr>
                <w:sz w:val="24"/>
                <w:szCs w:val="24"/>
              </w:rPr>
            </w:pPr>
            <w:r w:rsidRPr="000B2B6A">
              <w:rPr>
                <w:sz w:val="24"/>
                <w:szCs w:val="24"/>
              </w:rPr>
              <w:t>9,4</w:t>
            </w:r>
          </w:p>
        </w:tc>
        <w:tc>
          <w:tcPr>
            <w:tcW w:w="1063" w:type="dxa"/>
            <w:shd w:val="clear" w:color="auto" w:fill="auto"/>
          </w:tcPr>
          <w:p w14:paraId="5F017CE9" w14:textId="77777777" w:rsidR="005B75AB" w:rsidRPr="000B2B6A" w:rsidRDefault="005B75AB" w:rsidP="005748FB">
            <w:pPr>
              <w:pStyle w:val="a3"/>
              <w:spacing w:line="360" w:lineRule="auto"/>
              <w:jc w:val="both"/>
              <w:rPr>
                <w:sz w:val="24"/>
                <w:szCs w:val="24"/>
              </w:rPr>
            </w:pPr>
            <w:r w:rsidRPr="000B2B6A">
              <w:rPr>
                <w:sz w:val="24"/>
                <w:szCs w:val="24"/>
              </w:rPr>
              <w:t>8,97</w:t>
            </w:r>
          </w:p>
        </w:tc>
      </w:tr>
    </w:tbl>
    <w:p w14:paraId="468C7109" w14:textId="162DB298" w:rsidR="001843EA" w:rsidRPr="00EF4E0F" w:rsidRDefault="00EF4E0F" w:rsidP="005748FB">
      <w:pPr>
        <w:pStyle w:val="a3"/>
        <w:spacing w:line="360" w:lineRule="auto"/>
        <w:jc w:val="both"/>
        <w:rPr>
          <w:sz w:val="24"/>
          <w:szCs w:val="24"/>
          <w:lang w:val="en-US"/>
        </w:rPr>
      </w:pPr>
      <w:r>
        <w:rPr>
          <w:i/>
          <w:sz w:val="24"/>
          <w:szCs w:val="24"/>
          <w:lang w:val="en-US"/>
        </w:rPr>
        <w:t>Note</w:t>
      </w:r>
      <w:r w:rsidR="00F01ECD" w:rsidRPr="002B1452">
        <w:rPr>
          <w:i/>
          <w:sz w:val="24"/>
          <w:szCs w:val="24"/>
          <w:lang w:val="en-US"/>
        </w:rPr>
        <w:t>.</w:t>
      </w:r>
      <w:r w:rsidR="00F01ECD" w:rsidRPr="002B1452">
        <w:rPr>
          <w:sz w:val="24"/>
          <w:szCs w:val="24"/>
          <w:lang w:val="en-US"/>
        </w:rPr>
        <w:t xml:space="preserve"> </w:t>
      </w:r>
      <w:r>
        <w:rPr>
          <w:sz w:val="24"/>
          <w:szCs w:val="24"/>
          <w:lang w:val="en-US"/>
        </w:rPr>
        <w:t>ART (</w:t>
      </w:r>
      <w:r w:rsidR="00F01ECD">
        <w:rPr>
          <w:sz w:val="24"/>
          <w:szCs w:val="24"/>
        </w:rPr>
        <w:t>ВРТ</w:t>
      </w:r>
      <w:r>
        <w:rPr>
          <w:sz w:val="24"/>
          <w:szCs w:val="24"/>
          <w:lang w:val="en-US"/>
        </w:rPr>
        <w:t>)</w:t>
      </w:r>
      <w:r w:rsidR="00F01ECD" w:rsidRPr="00EF4E0F">
        <w:rPr>
          <w:sz w:val="24"/>
          <w:szCs w:val="24"/>
          <w:lang w:val="en-US"/>
        </w:rPr>
        <w:t xml:space="preserve"> — </w:t>
      </w:r>
      <w:r w:rsidRPr="00EF4E0F">
        <w:rPr>
          <w:sz w:val="24"/>
          <w:szCs w:val="24"/>
          <w:lang w:val="en-US"/>
        </w:rPr>
        <w:t>assisted reproductive technologies</w:t>
      </w:r>
      <w:r w:rsidR="00F01ECD" w:rsidRPr="00EF4E0F">
        <w:rPr>
          <w:sz w:val="24"/>
          <w:szCs w:val="24"/>
          <w:lang w:val="en-US"/>
        </w:rPr>
        <w:t>.</w:t>
      </w:r>
    </w:p>
    <w:p w14:paraId="3D7E8679" w14:textId="77777777" w:rsidR="00F01ECD" w:rsidRPr="00EF4E0F" w:rsidRDefault="00F01ECD" w:rsidP="005748FB">
      <w:pPr>
        <w:pStyle w:val="a3"/>
        <w:spacing w:line="360" w:lineRule="auto"/>
        <w:jc w:val="both"/>
        <w:rPr>
          <w:sz w:val="24"/>
          <w:szCs w:val="24"/>
          <w:lang w:val="en-US"/>
        </w:rPr>
      </w:pPr>
    </w:p>
    <w:p w14:paraId="43124148" w14:textId="4BBB0126" w:rsidR="005B75AB" w:rsidRPr="00895E1B" w:rsidRDefault="00895E1B" w:rsidP="005748FB">
      <w:pPr>
        <w:pStyle w:val="a3"/>
        <w:spacing w:line="360" w:lineRule="auto"/>
        <w:jc w:val="both"/>
        <w:rPr>
          <w:bCs/>
          <w:sz w:val="24"/>
          <w:szCs w:val="24"/>
          <w:lang w:val="en-US"/>
        </w:rPr>
      </w:pPr>
      <w:r>
        <w:rPr>
          <w:b/>
          <w:bCs/>
          <w:sz w:val="24"/>
          <w:szCs w:val="24"/>
          <w:lang w:val="en-US"/>
        </w:rPr>
        <w:t>Table</w:t>
      </w:r>
      <w:r w:rsidR="005B75AB" w:rsidRPr="00895E1B">
        <w:rPr>
          <w:b/>
          <w:bCs/>
          <w:sz w:val="24"/>
          <w:szCs w:val="24"/>
          <w:lang w:val="en-US"/>
        </w:rPr>
        <w:t xml:space="preserve"> 2.</w:t>
      </w:r>
      <w:r w:rsidR="005B75AB" w:rsidRPr="00895E1B">
        <w:rPr>
          <w:bCs/>
          <w:sz w:val="24"/>
          <w:szCs w:val="24"/>
          <w:lang w:val="en-US"/>
        </w:rPr>
        <w:t xml:space="preserve"> </w:t>
      </w:r>
      <w:r w:rsidRPr="00895E1B">
        <w:rPr>
          <w:bCs/>
          <w:sz w:val="24"/>
          <w:szCs w:val="24"/>
          <w:lang w:val="en-US"/>
        </w:rPr>
        <w:t>Infant mortality rate in 2018-2023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3385"/>
        <w:gridCol w:w="840"/>
        <w:gridCol w:w="839"/>
        <w:gridCol w:w="840"/>
        <w:gridCol w:w="971"/>
        <w:gridCol w:w="971"/>
        <w:gridCol w:w="939"/>
      </w:tblGrid>
      <w:tr w:rsidR="005B75AB" w:rsidRPr="002662AC" w14:paraId="4E2A53DC" w14:textId="77777777" w:rsidTr="000B2B6A">
        <w:tc>
          <w:tcPr>
            <w:tcW w:w="531" w:type="dxa"/>
            <w:shd w:val="clear" w:color="auto" w:fill="auto"/>
          </w:tcPr>
          <w:p w14:paraId="2E5F499D" w14:textId="77777777" w:rsidR="005B75AB" w:rsidRPr="002662AC" w:rsidRDefault="005B75AB" w:rsidP="005748FB">
            <w:pPr>
              <w:pStyle w:val="a3"/>
              <w:spacing w:line="360" w:lineRule="auto"/>
              <w:jc w:val="both"/>
              <w:rPr>
                <w:b/>
                <w:sz w:val="24"/>
                <w:szCs w:val="24"/>
              </w:rPr>
            </w:pPr>
            <w:r w:rsidRPr="002662AC">
              <w:rPr>
                <w:b/>
                <w:sz w:val="24"/>
                <w:szCs w:val="24"/>
              </w:rPr>
              <w:t>№ п/п</w:t>
            </w:r>
          </w:p>
        </w:tc>
        <w:tc>
          <w:tcPr>
            <w:tcW w:w="3546" w:type="dxa"/>
            <w:tcBorders>
              <w:tl2br w:val="single" w:sz="4" w:space="0" w:color="auto"/>
            </w:tcBorders>
            <w:shd w:val="clear" w:color="auto" w:fill="auto"/>
          </w:tcPr>
          <w:p w14:paraId="1897D970" w14:textId="11521696" w:rsidR="005B75AB" w:rsidRPr="00895E1B" w:rsidRDefault="00895E1B" w:rsidP="005748FB">
            <w:pPr>
              <w:pStyle w:val="a3"/>
              <w:spacing w:line="360" w:lineRule="auto"/>
              <w:jc w:val="both"/>
              <w:rPr>
                <w:b/>
                <w:sz w:val="24"/>
                <w:szCs w:val="24"/>
                <w:lang w:val="en-US"/>
              </w:rPr>
            </w:pPr>
            <w:r>
              <w:rPr>
                <w:b/>
                <w:sz w:val="24"/>
                <w:szCs w:val="24"/>
                <w:lang w:val="en-US"/>
              </w:rPr>
              <w:t>Years</w:t>
            </w:r>
          </w:p>
          <w:p w14:paraId="147D6985" w14:textId="54CE42EE" w:rsidR="005B75AB" w:rsidRPr="00895E1B" w:rsidRDefault="00895E1B" w:rsidP="005748FB">
            <w:pPr>
              <w:pStyle w:val="a3"/>
              <w:spacing w:line="360" w:lineRule="auto"/>
              <w:jc w:val="both"/>
              <w:rPr>
                <w:sz w:val="24"/>
                <w:szCs w:val="24"/>
                <w:lang w:val="en-US"/>
              </w:rPr>
            </w:pPr>
            <w:r>
              <w:rPr>
                <w:b/>
                <w:sz w:val="24"/>
                <w:szCs w:val="24"/>
                <w:lang w:val="en-US"/>
              </w:rPr>
              <w:t>Indicators</w:t>
            </w:r>
          </w:p>
        </w:tc>
        <w:tc>
          <w:tcPr>
            <w:tcW w:w="851" w:type="dxa"/>
            <w:shd w:val="clear" w:color="auto" w:fill="auto"/>
          </w:tcPr>
          <w:p w14:paraId="2A45BFE7" w14:textId="77777777" w:rsidR="005B75AB" w:rsidRPr="002662AC" w:rsidRDefault="005B75AB" w:rsidP="005748FB">
            <w:pPr>
              <w:pStyle w:val="a3"/>
              <w:spacing w:line="360" w:lineRule="auto"/>
              <w:jc w:val="both"/>
              <w:rPr>
                <w:b/>
                <w:sz w:val="24"/>
                <w:szCs w:val="24"/>
              </w:rPr>
            </w:pPr>
            <w:r w:rsidRPr="002662AC">
              <w:rPr>
                <w:b/>
                <w:sz w:val="24"/>
                <w:szCs w:val="24"/>
              </w:rPr>
              <w:t>2018</w:t>
            </w:r>
          </w:p>
        </w:tc>
        <w:tc>
          <w:tcPr>
            <w:tcW w:w="850" w:type="dxa"/>
            <w:shd w:val="clear" w:color="auto" w:fill="auto"/>
          </w:tcPr>
          <w:p w14:paraId="50DFB751" w14:textId="77777777" w:rsidR="005B75AB" w:rsidRPr="002662AC" w:rsidRDefault="005B75AB" w:rsidP="005748FB">
            <w:pPr>
              <w:pStyle w:val="a3"/>
              <w:spacing w:line="360" w:lineRule="auto"/>
              <w:jc w:val="both"/>
              <w:rPr>
                <w:b/>
                <w:sz w:val="24"/>
                <w:szCs w:val="24"/>
              </w:rPr>
            </w:pPr>
            <w:r w:rsidRPr="002662AC">
              <w:rPr>
                <w:b/>
                <w:sz w:val="24"/>
                <w:szCs w:val="24"/>
              </w:rPr>
              <w:t>2019</w:t>
            </w:r>
          </w:p>
        </w:tc>
        <w:tc>
          <w:tcPr>
            <w:tcW w:w="851" w:type="dxa"/>
            <w:shd w:val="clear" w:color="auto" w:fill="auto"/>
          </w:tcPr>
          <w:p w14:paraId="31887352" w14:textId="77777777" w:rsidR="005B75AB" w:rsidRPr="002662AC" w:rsidRDefault="005B75AB" w:rsidP="005748FB">
            <w:pPr>
              <w:pStyle w:val="a3"/>
              <w:spacing w:line="360" w:lineRule="auto"/>
              <w:jc w:val="both"/>
              <w:rPr>
                <w:b/>
                <w:sz w:val="24"/>
                <w:szCs w:val="24"/>
              </w:rPr>
            </w:pPr>
            <w:r w:rsidRPr="002662AC">
              <w:rPr>
                <w:b/>
                <w:sz w:val="24"/>
                <w:szCs w:val="24"/>
              </w:rPr>
              <w:t>2020</w:t>
            </w:r>
          </w:p>
        </w:tc>
        <w:tc>
          <w:tcPr>
            <w:tcW w:w="992" w:type="dxa"/>
            <w:shd w:val="clear" w:color="auto" w:fill="auto"/>
          </w:tcPr>
          <w:p w14:paraId="5ABCE2E9" w14:textId="77777777" w:rsidR="005B75AB" w:rsidRPr="002662AC" w:rsidRDefault="005B75AB" w:rsidP="005748FB">
            <w:pPr>
              <w:pStyle w:val="a3"/>
              <w:spacing w:line="360" w:lineRule="auto"/>
              <w:jc w:val="both"/>
              <w:rPr>
                <w:b/>
                <w:sz w:val="24"/>
                <w:szCs w:val="24"/>
              </w:rPr>
            </w:pPr>
            <w:r w:rsidRPr="002662AC">
              <w:rPr>
                <w:b/>
                <w:sz w:val="24"/>
                <w:szCs w:val="24"/>
              </w:rPr>
              <w:t>2021</w:t>
            </w:r>
          </w:p>
        </w:tc>
        <w:tc>
          <w:tcPr>
            <w:tcW w:w="992" w:type="dxa"/>
            <w:shd w:val="clear" w:color="auto" w:fill="auto"/>
          </w:tcPr>
          <w:p w14:paraId="1B59E17C" w14:textId="77777777" w:rsidR="005B75AB" w:rsidRPr="002662AC" w:rsidRDefault="005B75AB" w:rsidP="005748FB">
            <w:pPr>
              <w:pStyle w:val="a3"/>
              <w:spacing w:line="360" w:lineRule="auto"/>
              <w:jc w:val="both"/>
              <w:rPr>
                <w:b/>
                <w:sz w:val="24"/>
                <w:szCs w:val="24"/>
              </w:rPr>
            </w:pPr>
            <w:r w:rsidRPr="002662AC">
              <w:rPr>
                <w:b/>
                <w:sz w:val="24"/>
                <w:szCs w:val="24"/>
              </w:rPr>
              <w:t>2022</w:t>
            </w:r>
          </w:p>
        </w:tc>
        <w:tc>
          <w:tcPr>
            <w:tcW w:w="958" w:type="dxa"/>
            <w:shd w:val="clear" w:color="auto" w:fill="auto"/>
          </w:tcPr>
          <w:p w14:paraId="622C078B" w14:textId="77777777" w:rsidR="005B75AB" w:rsidRPr="002662AC" w:rsidRDefault="005B75AB" w:rsidP="005748FB">
            <w:pPr>
              <w:pStyle w:val="a3"/>
              <w:spacing w:line="360" w:lineRule="auto"/>
              <w:jc w:val="both"/>
              <w:rPr>
                <w:b/>
                <w:sz w:val="24"/>
                <w:szCs w:val="24"/>
              </w:rPr>
            </w:pPr>
            <w:r w:rsidRPr="002662AC">
              <w:rPr>
                <w:b/>
                <w:sz w:val="24"/>
                <w:szCs w:val="24"/>
              </w:rPr>
              <w:t>2023</w:t>
            </w:r>
          </w:p>
        </w:tc>
      </w:tr>
      <w:tr w:rsidR="005B75AB" w:rsidRPr="002662AC" w14:paraId="1DEA23F7" w14:textId="77777777" w:rsidTr="00D85DDE">
        <w:tc>
          <w:tcPr>
            <w:tcW w:w="531" w:type="dxa"/>
            <w:shd w:val="clear" w:color="auto" w:fill="auto"/>
          </w:tcPr>
          <w:p w14:paraId="48DFFC22" w14:textId="2AD94345" w:rsidR="005B75AB" w:rsidRPr="000B2B6A" w:rsidRDefault="005B75AB" w:rsidP="005748FB">
            <w:pPr>
              <w:pStyle w:val="a3"/>
              <w:spacing w:line="360" w:lineRule="auto"/>
              <w:jc w:val="both"/>
              <w:rPr>
                <w:sz w:val="24"/>
                <w:szCs w:val="24"/>
              </w:rPr>
            </w:pPr>
            <w:r w:rsidRPr="000B2B6A">
              <w:rPr>
                <w:sz w:val="24"/>
                <w:szCs w:val="24"/>
              </w:rPr>
              <w:t>1.</w:t>
            </w:r>
          </w:p>
        </w:tc>
        <w:tc>
          <w:tcPr>
            <w:tcW w:w="3546" w:type="dxa"/>
            <w:shd w:val="clear" w:color="auto" w:fill="auto"/>
          </w:tcPr>
          <w:p w14:paraId="53D87CB1" w14:textId="1B44FE23" w:rsidR="005B75AB" w:rsidRPr="002662AC" w:rsidRDefault="00895E1B" w:rsidP="005748FB">
            <w:pPr>
              <w:pStyle w:val="a3"/>
              <w:spacing w:line="360" w:lineRule="auto"/>
              <w:jc w:val="both"/>
              <w:rPr>
                <w:sz w:val="24"/>
                <w:szCs w:val="24"/>
              </w:rPr>
            </w:pPr>
            <w:r>
              <w:rPr>
                <w:sz w:val="24"/>
                <w:szCs w:val="24"/>
                <w:lang w:val="en-US"/>
              </w:rPr>
              <w:t>I</w:t>
            </w:r>
            <w:r w:rsidRPr="00895E1B">
              <w:rPr>
                <w:sz w:val="24"/>
                <w:szCs w:val="24"/>
              </w:rPr>
              <w:t>nfant mortality</w:t>
            </w:r>
            <w:r w:rsidR="001843EA">
              <w:rPr>
                <w:sz w:val="24"/>
                <w:szCs w:val="24"/>
              </w:rPr>
              <w:t>,</w:t>
            </w:r>
            <w:r w:rsidR="00F662B6">
              <w:rPr>
                <w:sz w:val="24"/>
                <w:szCs w:val="24"/>
              </w:rPr>
              <w:t xml:space="preserve"> </w:t>
            </w:r>
            <w:r w:rsidR="002E6A2B" w:rsidRPr="002E6A2B">
              <w:rPr>
                <w:sz w:val="24"/>
                <w:szCs w:val="24"/>
              </w:rPr>
              <w:t>‰</w:t>
            </w:r>
          </w:p>
        </w:tc>
        <w:tc>
          <w:tcPr>
            <w:tcW w:w="851" w:type="dxa"/>
            <w:shd w:val="clear" w:color="auto" w:fill="auto"/>
          </w:tcPr>
          <w:p w14:paraId="3334720F" w14:textId="77777777" w:rsidR="005B75AB" w:rsidRPr="000B2B6A" w:rsidRDefault="005B75AB" w:rsidP="005748FB">
            <w:pPr>
              <w:pStyle w:val="a3"/>
              <w:spacing w:line="360" w:lineRule="auto"/>
              <w:jc w:val="both"/>
              <w:rPr>
                <w:sz w:val="24"/>
                <w:szCs w:val="24"/>
              </w:rPr>
            </w:pPr>
            <w:r w:rsidRPr="000B2B6A">
              <w:rPr>
                <w:sz w:val="24"/>
                <w:szCs w:val="24"/>
              </w:rPr>
              <w:t>3,7</w:t>
            </w:r>
          </w:p>
        </w:tc>
        <w:tc>
          <w:tcPr>
            <w:tcW w:w="850" w:type="dxa"/>
            <w:shd w:val="clear" w:color="auto" w:fill="auto"/>
          </w:tcPr>
          <w:p w14:paraId="7E088888" w14:textId="77777777" w:rsidR="005B75AB" w:rsidRPr="000B2B6A" w:rsidRDefault="005B75AB" w:rsidP="005748FB">
            <w:pPr>
              <w:pStyle w:val="a3"/>
              <w:spacing w:line="360" w:lineRule="auto"/>
              <w:jc w:val="both"/>
              <w:rPr>
                <w:sz w:val="24"/>
                <w:szCs w:val="24"/>
              </w:rPr>
            </w:pPr>
            <w:r w:rsidRPr="000B2B6A">
              <w:rPr>
                <w:sz w:val="24"/>
                <w:szCs w:val="24"/>
              </w:rPr>
              <w:t>3,59</w:t>
            </w:r>
          </w:p>
        </w:tc>
        <w:tc>
          <w:tcPr>
            <w:tcW w:w="851" w:type="dxa"/>
            <w:shd w:val="clear" w:color="auto" w:fill="auto"/>
          </w:tcPr>
          <w:p w14:paraId="286AB681" w14:textId="77777777" w:rsidR="005B75AB" w:rsidRPr="000B2B6A" w:rsidRDefault="005B75AB" w:rsidP="005748FB">
            <w:pPr>
              <w:pStyle w:val="a3"/>
              <w:spacing w:line="360" w:lineRule="auto"/>
              <w:jc w:val="both"/>
              <w:rPr>
                <w:sz w:val="24"/>
                <w:szCs w:val="24"/>
              </w:rPr>
            </w:pPr>
            <w:r w:rsidRPr="000B2B6A">
              <w:rPr>
                <w:sz w:val="24"/>
                <w:szCs w:val="24"/>
              </w:rPr>
              <w:t>3,42</w:t>
            </w:r>
          </w:p>
        </w:tc>
        <w:tc>
          <w:tcPr>
            <w:tcW w:w="992" w:type="dxa"/>
            <w:shd w:val="clear" w:color="auto" w:fill="auto"/>
          </w:tcPr>
          <w:p w14:paraId="20E83853" w14:textId="77777777" w:rsidR="005B75AB" w:rsidRPr="000B2B6A" w:rsidRDefault="005B75AB" w:rsidP="005748FB">
            <w:pPr>
              <w:pStyle w:val="a3"/>
              <w:spacing w:line="360" w:lineRule="auto"/>
              <w:jc w:val="both"/>
              <w:rPr>
                <w:sz w:val="24"/>
                <w:szCs w:val="24"/>
              </w:rPr>
            </w:pPr>
            <w:r w:rsidRPr="000B2B6A">
              <w:rPr>
                <w:sz w:val="24"/>
                <w:szCs w:val="24"/>
              </w:rPr>
              <w:t>3,67</w:t>
            </w:r>
          </w:p>
        </w:tc>
        <w:tc>
          <w:tcPr>
            <w:tcW w:w="992" w:type="dxa"/>
            <w:shd w:val="clear" w:color="auto" w:fill="auto"/>
          </w:tcPr>
          <w:p w14:paraId="07C58A3E" w14:textId="77777777" w:rsidR="005B75AB" w:rsidRPr="000B2B6A" w:rsidRDefault="005B75AB" w:rsidP="005748FB">
            <w:pPr>
              <w:pStyle w:val="a3"/>
              <w:spacing w:line="360" w:lineRule="auto"/>
              <w:jc w:val="both"/>
              <w:rPr>
                <w:sz w:val="24"/>
                <w:szCs w:val="24"/>
              </w:rPr>
            </w:pPr>
            <w:r w:rsidRPr="000B2B6A">
              <w:rPr>
                <w:sz w:val="24"/>
                <w:szCs w:val="24"/>
              </w:rPr>
              <w:t>3,49</w:t>
            </w:r>
          </w:p>
        </w:tc>
        <w:tc>
          <w:tcPr>
            <w:tcW w:w="958" w:type="dxa"/>
            <w:shd w:val="clear" w:color="auto" w:fill="auto"/>
          </w:tcPr>
          <w:p w14:paraId="405527F1" w14:textId="77777777" w:rsidR="005B75AB" w:rsidRPr="000B2B6A" w:rsidRDefault="005B75AB" w:rsidP="005748FB">
            <w:pPr>
              <w:pStyle w:val="a3"/>
              <w:spacing w:line="360" w:lineRule="auto"/>
              <w:jc w:val="both"/>
              <w:rPr>
                <w:sz w:val="24"/>
                <w:szCs w:val="24"/>
              </w:rPr>
            </w:pPr>
            <w:r w:rsidRPr="000B2B6A">
              <w:rPr>
                <w:sz w:val="24"/>
                <w:szCs w:val="24"/>
              </w:rPr>
              <w:t>4,1</w:t>
            </w:r>
          </w:p>
        </w:tc>
      </w:tr>
      <w:tr w:rsidR="005B75AB" w:rsidRPr="002662AC" w14:paraId="6D2FE8BD" w14:textId="77777777" w:rsidTr="00D85DDE">
        <w:tc>
          <w:tcPr>
            <w:tcW w:w="531" w:type="dxa"/>
            <w:shd w:val="clear" w:color="auto" w:fill="auto"/>
          </w:tcPr>
          <w:p w14:paraId="3A728549" w14:textId="77777777" w:rsidR="005B75AB" w:rsidRPr="000B2B6A" w:rsidRDefault="005B75AB" w:rsidP="005748FB">
            <w:pPr>
              <w:pStyle w:val="a3"/>
              <w:spacing w:line="360" w:lineRule="auto"/>
              <w:jc w:val="both"/>
              <w:rPr>
                <w:sz w:val="24"/>
                <w:szCs w:val="24"/>
              </w:rPr>
            </w:pPr>
            <w:r w:rsidRPr="000B2B6A">
              <w:rPr>
                <w:sz w:val="24"/>
                <w:szCs w:val="24"/>
              </w:rPr>
              <w:t>2.</w:t>
            </w:r>
          </w:p>
        </w:tc>
        <w:tc>
          <w:tcPr>
            <w:tcW w:w="3546" w:type="dxa"/>
            <w:shd w:val="clear" w:color="auto" w:fill="auto"/>
          </w:tcPr>
          <w:p w14:paraId="244C9BD0" w14:textId="4C98E570" w:rsidR="005B75AB" w:rsidRPr="002662AC" w:rsidRDefault="00895E1B" w:rsidP="005748FB">
            <w:pPr>
              <w:pStyle w:val="a3"/>
              <w:spacing w:line="360" w:lineRule="auto"/>
              <w:jc w:val="both"/>
              <w:rPr>
                <w:sz w:val="24"/>
                <w:szCs w:val="24"/>
              </w:rPr>
            </w:pPr>
            <w:r>
              <w:rPr>
                <w:sz w:val="24"/>
                <w:szCs w:val="24"/>
                <w:lang w:val="en-US"/>
              </w:rPr>
              <w:t xml:space="preserve">Early neonatal </w:t>
            </w:r>
            <w:r w:rsidRPr="00895E1B">
              <w:rPr>
                <w:sz w:val="24"/>
                <w:szCs w:val="24"/>
              </w:rPr>
              <w:t>mortality</w:t>
            </w:r>
            <w:r w:rsidR="00496F66">
              <w:rPr>
                <w:sz w:val="24"/>
                <w:szCs w:val="24"/>
              </w:rPr>
              <w:t>,</w:t>
            </w:r>
            <w:r w:rsidR="005B75AB" w:rsidRPr="002662AC">
              <w:rPr>
                <w:sz w:val="24"/>
                <w:szCs w:val="24"/>
              </w:rPr>
              <w:t xml:space="preserve"> </w:t>
            </w:r>
            <w:r w:rsidR="002E6A2B" w:rsidRPr="002E6A2B">
              <w:rPr>
                <w:sz w:val="24"/>
                <w:szCs w:val="24"/>
              </w:rPr>
              <w:t>‰</w:t>
            </w:r>
          </w:p>
        </w:tc>
        <w:tc>
          <w:tcPr>
            <w:tcW w:w="851" w:type="dxa"/>
            <w:shd w:val="clear" w:color="auto" w:fill="auto"/>
          </w:tcPr>
          <w:p w14:paraId="2A024917" w14:textId="77777777" w:rsidR="005B75AB" w:rsidRPr="000B2B6A" w:rsidRDefault="005B75AB" w:rsidP="005748FB">
            <w:pPr>
              <w:pStyle w:val="a3"/>
              <w:spacing w:line="360" w:lineRule="auto"/>
              <w:jc w:val="both"/>
              <w:rPr>
                <w:sz w:val="24"/>
                <w:szCs w:val="24"/>
              </w:rPr>
            </w:pPr>
            <w:r w:rsidRPr="000B2B6A">
              <w:rPr>
                <w:sz w:val="24"/>
                <w:szCs w:val="24"/>
              </w:rPr>
              <w:t>1,32</w:t>
            </w:r>
          </w:p>
        </w:tc>
        <w:tc>
          <w:tcPr>
            <w:tcW w:w="850" w:type="dxa"/>
            <w:shd w:val="clear" w:color="auto" w:fill="auto"/>
          </w:tcPr>
          <w:p w14:paraId="34BAB89E" w14:textId="77777777" w:rsidR="005B75AB" w:rsidRPr="000B2B6A" w:rsidRDefault="005B75AB" w:rsidP="005748FB">
            <w:pPr>
              <w:pStyle w:val="a3"/>
              <w:spacing w:line="360" w:lineRule="auto"/>
              <w:jc w:val="both"/>
              <w:rPr>
                <w:sz w:val="24"/>
                <w:szCs w:val="24"/>
              </w:rPr>
            </w:pPr>
            <w:r w:rsidRPr="000B2B6A">
              <w:rPr>
                <w:sz w:val="24"/>
                <w:szCs w:val="24"/>
              </w:rPr>
              <w:t>1,34</w:t>
            </w:r>
          </w:p>
        </w:tc>
        <w:tc>
          <w:tcPr>
            <w:tcW w:w="851" w:type="dxa"/>
            <w:shd w:val="clear" w:color="auto" w:fill="auto"/>
          </w:tcPr>
          <w:p w14:paraId="7A496740" w14:textId="77777777" w:rsidR="005B75AB" w:rsidRPr="000B2B6A" w:rsidRDefault="005B75AB" w:rsidP="005748FB">
            <w:pPr>
              <w:pStyle w:val="a3"/>
              <w:spacing w:line="360" w:lineRule="auto"/>
              <w:jc w:val="both"/>
              <w:rPr>
                <w:sz w:val="24"/>
                <w:szCs w:val="24"/>
              </w:rPr>
            </w:pPr>
            <w:r w:rsidRPr="000B2B6A">
              <w:rPr>
                <w:sz w:val="24"/>
                <w:szCs w:val="24"/>
              </w:rPr>
              <w:t>1,05</w:t>
            </w:r>
          </w:p>
        </w:tc>
        <w:tc>
          <w:tcPr>
            <w:tcW w:w="992" w:type="dxa"/>
            <w:shd w:val="clear" w:color="auto" w:fill="auto"/>
          </w:tcPr>
          <w:p w14:paraId="6D0B0AFE" w14:textId="77777777" w:rsidR="005B75AB" w:rsidRPr="000B2B6A" w:rsidRDefault="005B75AB" w:rsidP="005748FB">
            <w:pPr>
              <w:pStyle w:val="a3"/>
              <w:spacing w:line="360" w:lineRule="auto"/>
              <w:jc w:val="both"/>
              <w:rPr>
                <w:sz w:val="24"/>
                <w:szCs w:val="24"/>
              </w:rPr>
            </w:pPr>
            <w:r w:rsidRPr="000B2B6A">
              <w:rPr>
                <w:sz w:val="24"/>
                <w:szCs w:val="24"/>
              </w:rPr>
              <w:t>1,03</w:t>
            </w:r>
          </w:p>
        </w:tc>
        <w:tc>
          <w:tcPr>
            <w:tcW w:w="992" w:type="dxa"/>
            <w:shd w:val="clear" w:color="auto" w:fill="auto"/>
          </w:tcPr>
          <w:p w14:paraId="5BB19F25" w14:textId="77777777" w:rsidR="005B75AB" w:rsidRPr="000B2B6A" w:rsidRDefault="005B75AB" w:rsidP="005748FB">
            <w:pPr>
              <w:pStyle w:val="a3"/>
              <w:spacing w:line="360" w:lineRule="auto"/>
              <w:jc w:val="both"/>
              <w:rPr>
                <w:sz w:val="24"/>
                <w:szCs w:val="24"/>
              </w:rPr>
            </w:pPr>
            <w:r w:rsidRPr="000B2B6A">
              <w:rPr>
                <w:sz w:val="24"/>
                <w:szCs w:val="24"/>
              </w:rPr>
              <w:t>1,05</w:t>
            </w:r>
          </w:p>
        </w:tc>
        <w:tc>
          <w:tcPr>
            <w:tcW w:w="958" w:type="dxa"/>
            <w:shd w:val="clear" w:color="auto" w:fill="auto"/>
          </w:tcPr>
          <w:p w14:paraId="4833256F" w14:textId="77777777" w:rsidR="005B75AB" w:rsidRPr="000B2B6A" w:rsidRDefault="005B75AB" w:rsidP="005748FB">
            <w:pPr>
              <w:pStyle w:val="a3"/>
              <w:spacing w:line="360" w:lineRule="auto"/>
              <w:jc w:val="both"/>
              <w:rPr>
                <w:sz w:val="24"/>
                <w:szCs w:val="24"/>
              </w:rPr>
            </w:pPr>
            <w:r w:rsidRPr="000B2B6A">
              <w:rPr>
                <w:sz w:val="24"/>
                <w:szCs w:val="24"/>
              </w:rPr>
              <w:t>0,52</w:t>
            </w:r>
          </w:p>
        </w:tc>
      </w:tr>
    </w:tbl>
    <w:p w14:paraId="5CAB8B41" w14:textId="77777777" w:rsidR="002E6A2B" w:rsidRDefault="002E6A2B" w:rsidP="005748FB">
      <w:pPr>
        <w:pStyle w:val="a3"/>
        <w:spacing w:line="360" w:lineRule="auto"/>
        <w:jc w:val="both"/>
        <w:rPr>
          <w:sz w:val="24"/>
          <w:szCs w:val="24"/>
        </w:rPr>
      </w:pPr>
    </w:p>
    <w:p w14:paraId="71F345B0" w14:textId="77777777" w:rsidR="005B75AB" w:rsidRPr="002662AC" w:rsidRDefault="005B75AB" w:rsidP="005748FB">
      <w:pPr>
        <w:pStyle w:val="a3"/>
        <w:spacing w:line="360" w:lineRule="auto"/>
        <w:jc w:val="both"/>
        <w:rPr>
          <w:sz w:val="24"/>
          <w:szCs w:val="24"/>
        </w:rPr>
      </w:pPr>
      <w:r w:rsidRPr="002662AC">
        <w:rPr>
          <w:noProof/>
          <w:sz w:val="24"/>
          <w:szCs w:val="24"/>
        </w:rPr>
        <w:lastRenderedPageBreak/>
        <w:drawing>
          <wp:inline distT="0" distB="0" distL="0" distR="0" wp14:anchorId="4FE9F1E7" wp14:editId="5CF2061B">
            <wp:extent cx="4988942" cy="3836671"/>
            <wp:effectExtent l="0" t="0" r="2158" b="1904"/>
            <wp:docPr id="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C707643" w14:textId="601A3385" w:rsidR="002E6A2B" w:rsidRPr="00895E1B" w:rsidRDefault="00895E1B" w:rsidP="005748FB">
      <w:pPr>
        <w:pStyle w:val="a3"/>
        <w:spacing w:line="360" w:lineRule="auto"/>
        <w:jc w:val="both"/>
        <w:rPr>
          <w:bCs/>
          <w:sz w:val="24"/>
          <w:szCs w:val="24"/>
          <w:lang w:val="en-US"/>
        </w:rPr>
      </w:pPr>
      <w:r>
        <w:rPr>
          <w:b/>
          <w:bCs/>
          <w:sz w:val="24"/>
          <w:szCs w:val="24"/>
          <w:lang w:val="en-US"/>
        </w:rPr>
        <w:t>Fig</w:t>
      </w:r>
      <w:r w:rsidR="002E6A2B" w:rsidRPr="00895E1B">
        <w:rPr>
          <w:b/>
          <w:bCs/>
          <w:sz w:val="24"/>
          <w:szCs w:val="24"/>
          <w:lang w:val="en-US"/>
        </w:rPr>
        <w:t>. 1.</w:t>
      </w:r>
      <w:r w:rsidR="002E6A2B" w:rsidRPr="00895E1B">
        <w:rPr>
          <w:bCs/>
          <w:sz w:val="24"/>
          <w:szCs w:val="24"/>
          <w:lang w:val="en-US"/>
        </w:rPr>
        <w:t xml:space="preserve"> </w:t>
      </w:r>
      <w:r w:rsidRPr="00895E1B">
        <w:rPr>
          <w:bCs/>
          <w:sz w:val="24"/>
          <w:szCs w:val="24"/>
          <w:lang w:val="en-US"/>
        </w:rPr>
        <w:t>Dynamics of fetal and infants losses over the studied years</w:t>
      </w:r>
    </w:p>
    <w:p w14:paraId="5CAC841E" w14:textId="328E2DC4" w:rsidR="00895E1B" w:rsidRPr="000B2B6A" w:rsidRDefault="00895E1B" w:rsidP="005748FB">
      <w:pPr>
        <w:pStyle w:val="a3"/>
        <w:spacing w:line="360" w:lineRule="auto"/>
        <w:jc w:val="both"/>
        <w:rPr>
          <w:bCs/>
          <w:sz w:val="24"/>
          <w:szCs w:val="24"/>
        </w:rPr>
      </w:pPr>
      <w:r>
        <w:rPr>
          <w:bCs/>
          <w:sz w:val="24"/>
          <w:szCs w:val="24"/>
        </w:rPr>
        <w:t xml:space="preserve">Невынашивание – </w:t>
      </w:r>
      <w:r w:rsidRPr="00895E1B">
        <w:rPr>
          <w:bCs/>
          <w:sz w:val="24"/>
          <w:szCs w:val="24"/>
        </w:rPr>
        <w:t>miscarriage</w:t>
      </w:r>
    </w:p>
    <w:p w14:paraId="3C0A266A" w14:textId="77777777" w:rsidR="002E6A2B" w:rsidRPr="002E6A2B" w:rsidRDefault="002E6A2B" w:rsidP="005748FB">
      <w:pPr>
        <w:pStyle w:val="a3"/>
        <w:spacing w:line="360" w:lineRule="auto"/>
        <w:jc w:val="both"/>
        <w:rPr>
          <w:sz w:val="24"/>
          <w:szCs w:val="24"/>
        </w:rPr>
      </w:pPr>
    </w:p>
    <w:p w14:paraId="62580789" w14:textId="77777777" w:rsidR="005B75AB" w:rsidRPr="002662AC" w:rsidRDefault="005B75AB" w:rsidP="005748FB">
      <w:pPr>
        <w:pStyle w:val="a3"/>
        <w:spacing w:line="360" w:lineRule="auto"/>
        <w:jc w:val="both"/>
        <w:rPr>
          <w:b/>
          <w:sz w:val="24"/>
          <w:szCs w:val="24"/>
        </w:rPr>
      </w:pPr>
      <w:r w:rsidRPr="002662AC">
        <w:rPr>
          <w:b/>
          <w:noProof/>
          <w:sz w:val="24"/>
          <w:szCs w:val="24"/>
        </w:rPr>
        <w:drawing>
          <wp:inline distT="0" distB="0" distL="0" distR="0" wp14:anchorId="4BE115D2" wp14:editId="150EF53B">
            <wp:extent cx="5338321" cy="3681471"/>
            <wp:effectExtent l="0" t="0" r="5204" b="4704"/>
            <wp:docPr id="2"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733A220" w14:textId="6889E63C" w:rsidR="002E6A2B" w:rsidRPr="00895E1B" w:rsidRDefault="00895E1B" w:rsidP="005748FB">
      <w:pPr>
        <w:pStyle w:val="a3"/>
        <w:spacing w:line="360" w:lineRule="auto"/>
        <w:jc w:val="both"/>
        <w:rPr>
          <w:bCs/>
          <w:sz w:val="24"/>
          <w:szCs w:val="24"/>
          <w:lang w:val="en-US"/>
        </w:rPr>
      </w:pPr>
      <w:r>
        <w:rPr>
          <w:b/>
          <w:bCs/>
          <w:sz w:val="24"/>
          <w:szCs w:val="24"/>
          <w:lang w:val="en-US"/>
        </w:rPr>
        <w:t>Fig</w:t>
      </w:r>
      <w:r w:rsidR="002E6A2B" w:rsidRPr="00895E1B">
        <w:rPr>
          <w:b/>
          <w:bCs/>
          <w:sz w:val="24"/>
          <w:szCs w:val="24"/>
          <w:lang w:val="en-US"/>
        </w:rPr>
        <w:t xml:space="preserve">. 2. </w:t>
      </w:r>
      <w:r w:rsidRPr="00895E1B">
        <w:rPr>
          <w:bCs/>
          <w:sz w:val="24"/>
          <w:szCs w:val="24"/>
          <w:lang w:val="en-US"/>
        </w:rPr>
        <w:t>Children's morbidity in different age groups (per 1000)</w:t>
      </w:r>
    </w:p>
    <w:p w14:paraId="12B43A77" w14:textId="77777777" w:rsidR="002E6A2B" w:rsidRPr="00895E1B" w:rsidRDefault="002E6A2B" w:rsidP="005748FB">
      <w:pPr>
        <w:pStyle w:val="a3"/>
        <w:spacing w:line="360" w:lineRule="auto"/>
        <w:jc w:val="both"/>
        <w:rPr>
          <w:sz w:val="24"/>
          <w:szCs w:val="24"/>
          <w:lang w:val="en-US"/>
        </w:rPr>
      </w:pPr>
    </w:p>
    <w:p w14:paraId="0977ADBF" w14:textId="77777777" w:rsidR="005B75AB" w:rsidRPr="002B1452" w:rsidRDefault="005B75AB" w:rsidP="005748FB">
      <w:pPr>
        <w:pStyle w:val="a3"/>
        <w:spacing w:line="360" w:lineRule="auto"/>
        <w:jc w:val="both"/>
        <w:rPr>
          <w:sz w:val="24"/>
          <w:szCs w:val="24"/>
          <w:lang w:val="en-US"/>
        </w:rPr>
      </w:pPr>
      <w:r w:rsidRPr="002662AC">
        <w:rPr>
          <w:noProof/>
          <w:sz w:val="24"/>
          <w:szCs w:val="24"/>
        </w:rPr>
        <w:lastRenderedPageBreak/>
        <w:drawing>
          <wp:inline distT="0" distB="0" distL="0" distR="0" wp14:anchorId="79E28709" wp14:editId="026363BA">
            <wp:extent cx="5138167" cy="3072767"/>
            <wp:effectExtent l="0" t="0" r="5333" b="3808"/>
            <wp:docPr id="5"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2B1452">
        <w:rPr>
          <w:sz w:val="24"/>
          <w:szCs w:val="24"/>
          <w:lang w:val="en-US"/>
        </w:rPr>
        <w:t>.</w:t>
      </w:r>
    </w:p>
    <w:p w14:paraId="68667E1D" w14:textId="2F1D3283" w:rsidR="002E6A2B" w:rsidRPr="00895E1B" w:rsidRDefault="00895E1B" w:rsidP="005748FB">
      <w:pPr>
        <w:pStyle w:val="a3"/>
        <w:spacing w:line="360" w:lineRule="auto"/>
        <w:jc w:val="both"/>
        <w:rPr>
          <w:sz w:val="24"/>
          <w:szCs w:val="24"/>
          <w:lang w:val="en-US"/>
        </w:rPr>
      </w:pPr>
      <w:r>
        <w:rPr>
          <w:b/>
          <w:sz w:val="24"/>
          <w:szCs w:val="24"/>
          <w:lang w:val="en-US"/>
        </w:rPr>
        <w:t>Fig</w:t>
      </w:r>
      <w:r w:rsidR="002E6A2B" w:rsidRPr="00895E1B">
        <w:rPr>
          <w:b/>
          <w:sz w:val="24"/>
          <w:szCs w:val="24"/>
          <w:lang w:val="en-US"/>
        </w:rPr>
        <w:t xml:space="preserve">. 3. </w:t>
      </w:r>
      <w:r w:rsidRPr="00895E1B">
        <w:rPr>
          <w:sz w:val="24"/>
          <w:szCs w:val="24"/>
          <w:lang w:val="en-US"/>
        </w:rPr>
        <w:t>Age-related dynamics of average level of physical development</w:t>
      </w:r>
      <w:r w:rsidR="002E6A2B" w:rsidRPr="00895E1B">
        <w:rPr>
          <w:sz w:val="24"/>
          <w:szCs w:val="24"/>
          <w:lang w:val="en-US"/>
        </w:rPr>
        <w:t>, %</w:t>
      </w:r>
    </w:p>
    <w:p w14:paraId="187646B1" w14:textId="77777777" w:rsidR="002E6A2B" w:rsidRPr="00895E1B" w:rsidRDefault="002E6A2B" w:rsidP="005748FB">
      <w:pPr>
        <w:pStyle w:val="a3"/>
        <w:spacing w:line="360" w:lineRule="auto"/>
        <w:jc w:val="both"/>
        <w:rPr>
          <w:sz w:val="24"/>
          <w:szCs w:val="24"/>
          <w:lang w:val="en-US"/>
        </w:rPr>
      </w:pPr>
    </w:p>
    <w:p w14:paraId="29772E8B" w14:textId="77777777" w:rsidR="005B75AB" w:rsidRPr="002662AC" w:rsidRDefault="005B75AB" w:rsidP="005748FB">
      <w:pPr>
        <w:pStyle w:val="a3"/>
        <w:spacing w:line="360" w:lineRule="auto"/>
        <w:jc w:val="both"/>
        <w:rPr>
          <w:sz w:val="24"/>
          <w:szCs w:val="24"/>
        </w:rPr>
      </w:pPr>
      <w:r w:rsidRPr="002662AC">
        <w:rPr>
          <w:noProof/>
          <w:sz w:val="24"/>
          <w:szCs w:val="24"/>
        </w:rPr>
        <w:drawing>
          <wp:inline distT="0" distB="0" distL="0" distR="0" wp14:anchorId="39F588FF" wp14:editId="1B9581D9">
            <wp:extent cx="5485130" cy="3285871"/>
            <wp:effectExtent l="0" t="0" r="1270" b="254"/>
            <wp:docPr id="6"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F8BCA04" w14:textId="77777777" w:rsidR="00895E1B" w:rsidRPr="00895E1B" w:rsidRDefault="00895E1B" w:rsidP="005748FB">
      <w:pPr>
        <w:pStyle w:val="a3"/>
        <w:spacing w:line="360" w:lineRule="auto"/>
        <w:jc w:val="both"/>
        <w:rPr>
          <w:bCs/>
          <w:sz w:val="24"/>
          <w:szCs w:val="24"/>
          <w:lang w:val="en-US"/>
        </w:rPr>
      </w:pPr>
      <w:r>
        <w:rPr>
          <w:b/>
          <w:bCs/>
          <w:sz w:val="24"/>
          <w:szCs w:val="24"/>
          <w:lang w:val="en-US"/>
        </w:rPr>
        <w:t>Fig</w:t>
      </w:r>
      <w:r w:rsidR="002E6A2B" w:rsidRPr="00895E1B">
        <w:rPr>
          <w:b/>
          <w:bCs/>
          <w:sz w:val="24"/>
          <w:szCs w:val="24"/>
          <w:lang w:val="en-US"/>
        </w:rPr>
        <w:t xml:space="preserve">. 4. </w:t>
      </w:r>
      <w:r w:rsidRPr="00895E1B">
        <w:rPr>
          <w:bCs/>
          <w:sz w:val="24"/>
          <w:szCs w:val="24"/>
          <w:lang w:val="en-US"/>
        </w:rPr>
        <w:t>Urogenital morbidity in children (0-17 years old) by gender and study years (per 1000)</w:t>
      </w:r>
    </w:p>
    <w:p w14:paraId="79623C94" w14:textId="2471DF2F" w:rsidR="00895E1B" w:rsidRPr="00895E1B" w:rsidRDefault="00895E1B" w:rsidP="005748FB">
      <w:pPr>
        <w:pStyle w:val="a3"/>
        <w:spacing w:line="360" w:lineRule="auto"/>
        <w:jc w:val="both"/>
        <w:rPr>
          <w:b/>
          <w:bCs/>
          <w:sz w:val="24"/>
          <w:szCs w:val="24"/>
          <w:lang w:val="en-US"/>
        </w:rPr>
      </w:pPr>
      <w:r>
        <w:rPr>
          <w:bCs/>
          <w:sz w:val="24"/>
          <w:szCs w:val="24"/>
        </w:rPr>
        <w:t>Заболеваемость</w:t>
      </w:r>
      <w:r w:rsidRPr="00883D30">
        <w:rPr>
          <w:bCs/>
          <w:sz w:val="24"/>
          <w:szCs w:val="24"/>
          <w:lang w:val="en-US"/>
        </w:rPr>
        <w:t xml:space="preserve"> – </w:t>
      </w:r>
      <w:r>
        <w:rPr>
          <w:bCs/>
          <w:sz w:val="24"/>
          <w:szCs w:val="24"/>
          <w:lang w:val="en-US"/>
        </w:rPr>
        <w:t>morbidity</w:t>
      </w:r>
    </w:p>
    <w:p w14:paraId="4071DB1E" w14:textId="77777777" w:rsidR="002900FB" w:rsidRPr="00883D30" w:rsidRDefault="002900FB" w:rsidP="005748FB">
      <w:pPr>
        <w:pStyle w:val="a3"/>
        <w:spacing w:line="360" w:lineRule="auto"/>
        <w:jc w:val="both"/>
        <w:rPr>
          <w:sz w:val="24"/>
          <w:szCs w:val="24"/>
          <w:lang w:val="en-US"/>
        </w:rPr>
      </w:pPr>
    </w:p>
    <w:p w14:paraId="753AE18F" w14:textId="42F0A58C" w:rsidR="005B75AB" w:rsidRPr="00883D30" w:rsidRDefault="00895E1B" w:rsidP="005748FB">
      <w:pPr>
        <w:pStyle w:val="a3"/>
        <w:spacing w:line="360" w:lineRule="auto"/>
        <w:jc w:val="both"/>
        <w:rPr>
          <w:bCs/>
          <w:sz w:val="24"/>
          <w:szCs w:val="24"/>
          <w:lang w:val="en-US"/>
        </w:rPr>
      </w:pPr>
      <w:r>
        <w:rPr>
          <w:b/>
          <w:bCs/>
          <w:sz w:val="24"/>
          <w:szCs w:val="24"/>
          <w:lang w:val="en-US"/>
        </w:rPr>
        <w:t>Table</w:t>
      </w:r>
      <w:r w:rsidR="005B75AB" w:rsidRPr="00883D30">
        <w:rPr>
          <w:b/>
          <w:bCs/>
          <w:sz w:val="24"/>
          <w:szCs w:val="24"/>
          <w:lang w:val="en-US"/>
        </w:rPr>
        <w:t xml:space="preserve"> 3.</w:t>
      </w:r>
      <w:r w:rsidR="002900FB" w:rsidRPr="00883D30">
        <w:rPr>
          <w:bCs/>
          <w:sz w:val="24"/>
          <w:szCs w:val="24"/>
          <w:lang w:val="en-US"/>
        </w:rPr>
        <w:t xml:space="preserve"> </w:t>
      </w:r>
      <w:r w:rsidR="00883D30" w:rsidRPr="00883D30">
        <w:rPr>
          <w:bCs/>
          <w:sz w:val="24"/>
          <w:szCs w:val="24"/>
          <w:lang w:val="en-US"/>
        </w:rPr>
        <w:t>Incidence of various reproductive system pathologies in girls and boys (0-17 years old) (2022)</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379"/>
        <w:gridCol w:w="1440"/>
        <w:gridCol w:w="567"/>
        <w:gridCol w:w="2353"/>
        <w:gridCol w:w="1298"/>
      </w:tblGrid>
      <w:tr w:rsidR="005B75AB" w:rsidRPr="002662AC" w14:paraId="03F6F29E" w14:textId="77777777" w:rsidTr="00D85DDE">
        <w:tc>
          <w:tcPr>
            <w:tcW w:w="710" w:type="dxa"/>
            <w:shd w:val="clear" w:color="auto" w:fill="auto"/>
          </w:tcPr>
          <w:p w14:paraId="6EEC3171" w14:textId="714618E6" w:rsidR="005B75AB" w:rsidRPr="000B2B6A" w:rsidRDefault="005B75AB" w:rsidP="005748FB">
            <w:pPr>
              <w:pStyle w:val="a3"/>
              <w:spacing w:line="360" w:lineRule="auto"/>
              <w:jc w:val="both"/>
              <w:rPr>
                <w:b/>
                <w:sz w:val="24"/>
                <w:szCs w:val="24"/>
              </w:rPr>
            </w:pPr>
            <w:r w:rsidRPr="000B2B6A">
              <w:rPr>
                <w:b/>
                <w:sz w:val="24"/>
                <w:szCs w:val="24"/>
              </w:rPr>
              <w:t>№ п/п</w:t>
            </w:r>
          </w:p>
        </w:tc>
        <w:tc>
          <w:tcPr>
            <w:tcW w:w="3379" w:type="dxa"/>
            <w:shd w:val="clear" w:color="auto" w:fill="auto"/>
          </w:tcPr>
          <w:p w14:paraId="6D54D841" w14:textId="2148B415" w:rsidR="005B75AB" w:rsidRPr="00883D30" w:rsidRDefault="00883D30" w:rsidP="005748FB">
            <w:pPr>
              <w:pStyle w:val="a3"/>
              <w:spacing w:line="360" w:lineRule="auto"/>
              <w:jc w:val="both"/>
              <w:rPr>
                <w:b/>
                <w:sz w:val="24"/>
                <w:szCs w:val="24"/>
                <w:lang w:val="en-US"/>
              </w:rPr>
            </w:pPr>
            <w:r>
              <w:rPr>
                <w:b/>
                <w:sz w:val="24"/>
                <w:lang w:val="en-US"/>
              </w:rPr>
              <w:t>Pathology type in</w:t>
            </w:r>
            <w:r w:rsidR="005B75AB" w:rsidRPr="000B2B6A">
              <w:rPr>
                <w:b/>
                <w:sz w:val="24"/>
                <w:lang w:val="en-US"/>
              </w:rPr>
              <w:t xml:space="preserve"> </w:t>
            </w:r>
            <w:r>
              <w:rPr>
                <w:b/>
                <w:sz w:val="24"/>
                <w:lang w:val="en-US"/>
              </w:rPr>
              <w:t>girls</w:t>
            </w:r>
          </w:p>
        </w:tc>
        <w:tc>
          <w:tcPr>
            <w:tcW w:w="1440" w:type="dxa"/>
            <w:shd w:val="clear" w:color="auto" w:fill="auto"/>
          </w:tcPr>
          <w:p w14:paraId="6AF9263A" w14:textId="515BF52A" w:rsidR="005B75AB" w:rsidRPr="00883D30" w:rsidRDefault="00883D30" w:rsidP="005748FB">
            <w:pPr>
              <w:pStyle w:val="a3"/>
              <w:spacing w:line="360" w:lineRule="auto"/>
              <w:jc w:val="both"/>
              <w:rPr>
                <w:b/>
                <w:sz w:val="24"/>
                <w:szCs w:val="24"/>
                <w:lang w:val="en-US"/>
              </w:rPr>
            </w:pPr>
            <w:r>
              <w:rPr>
                <w:b/>
                <w:sz w:val="24"/>
                <w:szCs w:val="24"/>
                <w:lang w:val="en-US"/>
              </w:rPr>
              <w:t>Rank</w:t>
            </w:r>
          </w:p>
        </w:tc>
        <w:tc>
          <w:tcPr>
            <w:tcW w:w="567" w:type="dxa"/>
            <w:shd w:val="clear" w:color="auto" w:fill="auto"/>
          </w:tcPr>
          <w:p w14:paraId="733C7F92" w14:textId="29361B74" w:rsidR="005B75AB" w:rsidRPr="000B2B6A" w:rsidRDefault="005B75AB" w:rsidP="005748FB">
            <w:pPr>
              <w:pStyle w:val="a3"/>
              <w:spacing w:line="360" w:lineRule="auto"/>
              <w:jc w:val="both"/>
              <w:rPr>
                <w:b/>
                <w:sz w:val="24"/>
                <w:szCs w:val="24"/>
              </w:rPr>
            </w:pPr>
            <w:r w:rsidRPr="000B2B6A">
              <w:rPr>
                <w:b/>
                <w:sz w:val="24"/>
                <w:szCs w:val="24"/>
              </w:rPr>
              <w:t>№ п/п</w:t>
            </w:r>
          </w:p>
        </w:tc>
        <w:tc>
          <w:tcPr>
            <w:tcW w:w="2353" w:type="dxa"/>
            <w:shd w:val="clear" w:color="auto" w:fill="auto"/>
          </w:tcPr>
          <w:p w14:paraId="72F6F1A8" w14:textId="169C1325" w:rsidR="005B75AB" w:rsidRPr="000B2B6A" w:rsidRDefault="00883D30" w:rsidP="005748FB">
            <w:pPr>
              <w:pStyle w:val="a3"/>
              <w:spacing w:line="360" w:lineRule="auto"/>
              <w:jc w:val="both"/>
              <w:rPr>
                <w:b/>
                <w:sz w:val="24"/>
                <w:szCs w:val="24"/>
                <w:lang w:val="en-US"/>
              </w:rPr>
            </w:pPr>
            <w:r>
              <w:rPr>
                <w:b/>
                <w:sz w:val="24"/>
                <w:lang w:val="en-US"/>
              </w:rPr>
              <w:t>Pathology type in boys</w:t>
            </w:r>
          </w:p>
        </w:tc>
        <w:tc>
          <w:tcPr>
            <w:tcW w:w="1298" w:type="dxa"/>
            <w:shd w:val="clear" w:color="auto" w:fill="auto"/>
          </w:tcPr>
          <w:p w14:paraId="06A1B059" w14:textId="77B4ACF3" w:rsidR="005B75AB" w:rsidRPr="00883D30" w:rsidRDefault="00883D30" w:rsidP="005748FB">
            <w:pPr>
              <w:pStyle w:val="a3"/>
              <w:spacing w:line="360" w:lineRule="auto"/>
              <w:jc w:val="both"/>
              <w:rPr>
                <w:b/>
                <w:sz w:val="24"/>
                <w:szCs w:val="24"/>
                <w:lang w:val="en-US"/>
              </w:rPr>
            </w:pPr>
            <w:r>
              <w:rPr>
                <w:b/>
                <w:sz w:val="24"/>
                <w:szCs w:val="24"/>
                <w:lang w:val="en-US"/>
              </w:rPr>
              <w:t>Rank</w:t>
            </w:r>
          </w:p>
        </w:tc>
      </w:tr>
      <w:tr w:rsidR="005B75AB" w:rsidRPr="002662AC" w14:paraId="4FF1DCE3" w14:textId="77777777" w:rsidTr="00D85DDE">
        <w:tc>
          <w:tcPr>
            <w:tcW w:w="710" w:type="dxa"/>
            <w:shd w:val="clear" w:color="auto" w:fill="auto"/>
          </w:tcPr>
          <w:p w14:paraId="33C6584A" w14:textId="77777777" w:rsidR="005B75AB" w:rsidRPr="002662AC" w:rsidRDefault="005B75AB" w:rsidP="005748FB">
            <w:pPr>
              <w:pStyle w:val="a3"/>
              <w:spacing w:line="360" w:lineRule="auto"/>
              <w:jc w:val="both"/>
              <w:rPr>
                <w:sz w:val="24"/>
                <w:szCs w:val="24"/>
              </w:rPr>
            </w:pPr>
            <w:r w:rsidRPr="002662AC">
              <w:rPr>
                <w:sz w:val="24"/>
                <w:szCs w:val="24"/>
              </w:rPr>
              <w:lastRenderedPageBreak/>
              <w:t>1.</w:t>
            </w:r>
          </w:p>
        </w:tc>
        <w:tc>
          <w:tcPr>
            <w:tcW w:w="3379" w:type="dxa"/>
            <w:shd w:val="clear" w:color="auto" w:fill="auto"/>
          </w:tcPr>
          <w:p w14:paraId="5B35CDE5" w14:textId="54322141" w:rsidR="005B75AB" w:rsidRPr="002662AC" w:rsidRDefault="00883D30" w:rsidP="005748FB">
            <w:pPr>
              <w:pStyle w:val="a3"/>
              <w:spacing w:line="360" w:lineRule="auto"/>
              <w:jc w:val="both"/>
              <w:rPr>
                <w:sz w:val="24"/>
                <w:szCs w:val="24"/>
              </w:rPr>
            </w:pPr>
            <w:r w:rsidRPr="00883D30">
              <w:rPr>
                <w:sz w:val="24"/>
                <w:szCs w:val="24"/>
              </w:rPr>
              <w:t xml:space="preserve">Menstrual disturbances </w:t>
            </w:r>
            <w:r w:rsidR="0008038F">
              <w:rPr>
                <w:sz w:val="24"/>
                <w:szCs w:val="24"/>
              </w:rPr>
              <w:t>(</w:t>
            </w:r>
            <w:r w:rsidR="005B75AB" w:rsidRPr="002662AC">
              <w:rPr>
                <w:sz w:val="24"/>
                <w:szCs w:val="24"/>
                <w:lang w:val="en-US"/>
              </w:rPr>
              <w:t>N</w:t>
            </w:r>
            <w:r w:rsidR="005B75AB" w:rsidRPr="002662AC">
              <w:rPr>
                <w:sz w:val="24"/>
                <w:szCs w:val="24"/>
              </w:rPr>
              <w:t>91</w:t>
            </w:r>
            <w:r w:rsidR="0008038F">
              <w:rPr>
                <w:sz w:val="24"/>
                <w:szCs w:val="24"/>
              </w:rPr>
              <w:t>–</w:t>
            </w:r>
            <w:r w:rsidR="005B75AB" w:rsidRPr="002662AC">
              <w:rPr>
                <w:sz w:val="24"/>
                <w:szCs w:val="24"/>
              </w:rPr>
              <w:t>93,</w:t>
            </w:r>
            <w:r w:rsidR="0008038F">
              <w:rPr>
                <w:sz w:val="24"/>
                <w:szCs w:val="24"/>
              </w:rPr>
              <w:t xml:space="preserve"> </w:t>
            </w:r>
            <w:r w:rsidR="005B75AB" w:rsidRPr="002662AC">
              <w:rPr>
                <w:sz w:val="24"/>
                <w:szCs w:val="24"/>
              </w:rPr>
              <w:t>94.</w:t>
            </w:r>
            <w:r w:rsidR="0008038F">
              <w:rPr>
                <w:sz w:val="24"/>
                <w:szCs w:val="24"/>
              </w:rPr>
              <w:t>3–</w:t>
            </w:r>
            <w:r w:rsidR="005B75AB" w:rsidRPr="002662AC">
              <w:rPr>
                <w:sz w:val="24"/>
                <w:szCs w:val="24"/>
              </w:rPr>
              <w:t>94.6</w:t>
            </w:r>
            <w:r w:rsidR="0008038F">
              <w:rPr>
                <w:sz w:val="24"/>
                <w:szCs w:val="24"/>
              </w:rPr>
              <w:t>)</w:t>
            </w:r>
          </w:p>
        </w:tc>
        <w:tc>
          <w:tcPr>
            <w:tcW w:w="1440" w:type="dxa"/>
            <w:shd w:val="clear" w:color="auto" w:fill="auto"/>
          </w:tcPr>
          <w:p w14:paraId="3A28C12E" w14:textId="77777777" w:rsidR="005B75AB" w:rsidRPr="002662AC" w:rsidRDefault="005B75AB" w:rsidP="005748FB">
            <w:pPr>
              <w:pStyle w:val="a3"/>
              <w:spacing w:line="360" w:lineRule="auto"/>
              <w:jc w:val="both"/>
              <w:rPr>
                <w:sz w:val="24"/>
                <w:szCs w:val="24"/>
              </w:rPr>
            </w:pPr>
          </w:p>
          <w:p w14:paraId="4887C645" w14:textId="77777777" w:rsidR="005B75AB" w:rsidRPr="002662AC" w:rsidRDefault="005B75AB" w:rsidP="005748FB">
            <w:pPr>
              <w:pStyle w:val="a3"/>
              <w:spacing w:line="360" w:lineRule="auto"/>
              <w:jc w:val="both"/>
              <w:rPr>
                <w:sz w:val="24"/>
                <w:szCs w:val="24"/>
              </w:rPr>
            </w:pPr>
            <w:r w:rsidRPr="002662AC">
              <w:rPr>
                <w:sz w:val="24"/>
                <w:szCs w:val="24"/>
              </w:rPr>
              <w:t>72,0%</w:t>
            </w:r>
          </w:p>
          <w:p w14:paraId="1BCE26A0" w14:textId="77777777" w:rsidR="005B75AB" w:rsidRPr="002662AC" w:rsidRDefault="005B75AB" w:rsidP="005748FB">
            <w:pPr>
              <w:pStyle w:val="a3"/>
              <w:spacing w:line="360" w:lineRule="auto"/>
              <w:jc w:val="both"/>
              <w:rPr>
                <w:sz w:val="24"/>
                <w:szCs w:val="24"/>
              </w:rPr>
            </w:pPr>
            <w:r w:rsidRPr="002662AC">
              <w:rPr>
                <w:sz w:val="24"/>
                <w:szCs w:val="24"/>
              </w:rPr>
              <w:t>(1)</w:t>
            </w:r>
          </w:p>
        </w:tc>
        <w:tc>
          <w:tcPr>
            <w:tcW w:w="567" w:type="dxa"/>
            <w:shd w:val="clear" w:color="auto" w:fill="auto"/>
          </w:tcPr>
          <w:p w14:paraId="4EAC8EA2" w14:textId="77777777" w:rsidR="005B75AB" w:rsidRPr="002662AC" w:rsidRDefault="005B75AB" w:rsidP="005748FB">
            <w:pPr>
              <w:pStyle w:val="a3"/>
              <w:spacing w:line="360" w:lineRule="auto"/>
              <w:jc w:val="both"/>
              <w:rPr>
                <w:sz w:val="24"/>
                <w:szCs w:val="24"/>
              </w:rPr>
            </w:pPr>
            <w:r w:rsidRPr="002662AC">
              <w:rPr>
                <w:sz w:val="24"/>
                <w:szCs w:val="24"/>
              </w:rPr>
              <w:t>1.</w:t>
            </w:r>
          </w:p>
        </w:tc>
        <w:tc>
          <w:tcPr>
            <w:tcW w:w="2353" w:type="dxa"/>
            <w:shd w:val="clear" w:color="auto" w:fill="auto"/>
          </w:tcPr>
          <w:p w14:paraId="16455B05" w14:textId="3DED2ED8" w:rsidR="005B75AB" w:rsidRPr="00883D30" w:rsidRDefault="00883D30" w:rsidP="005748FB">
            <w:pPr>
              <w:pStyle w:val="a3"/>
              <w:spacing w:line="360" w:lineRule="auto"/>
              <w:jc w:val="both"/>
              <w:rPr>
                <w:sz w:val="24"/>
                <w:szCs w:val="24"/>
                <w:lang w:val="en-US"/>
              </w:rPr>
            </w:pPr>
            <w:r w:rsidRPr="00883D30">
              <w:rPr>
                <w:sz w:val="24"/>
                <w:szCs w:val="24"/>
                <w:lang w:val="en-US"/>
              </w:rPr>
              <w:t xml:space="preserve">Redundant prepuce, phimosis and paraphimosis </w:t>
            </w:r>
            <w:r w:rsidR="005B75AB" w:rsidRPr="00883D30">
              <w:rPr>
                <w:sz w:val="24"/>
                <w:szCs w:val="24"/>
                <w:lang w:val="en-US"/>
              </w:rPr>
              <w:t>(N47)</w:t>
            </w:r>
          </w:p>
        </w:tc>
        <w:tc>
          <w:tcPr>
            <w:tcW w:w="1298" w:type="dxa"/>
            <w:shd w:val="clear" w:color="auto" w:fill="auto"/>
          </w:tcPr>
          <w:p w14:paraId="7DC1891B" w14:textId="1C351C73" w:rsidR="005B75AB" w:rsidRPr="002662AC" w:rsidRDefault="005B75AB" w:rsidP="005748FB">
            <w:pPr>
              <w:pStyle w:val="a3"/>
              <w:spacing w:line="360" w:lineRule="auto"/>
              <w:jc w:val="both"/>
              <w:rPr>
                <w:sz w:val="24"/>
                <w:szCs w:val="24"/>
              </w:rPr>
            </w:pPr>
            <w:r w:rsidRPr="002662AC">
              <w:rPr>
                <w:sz w:val="24"/>
                <w:szCs w:val="24"/>
              </w:rPr>
              <w:t>28,9%</w:t>
            </w:r>
          </w:p>
          <w:p w14:paraId="04B5DD27" w14:textId="77777777" w:rsidR="005B75AB" w:rsidRPr="002662AC" w:rsidRDefault="005B75AB" w:rsidP="005748FB">
            <w:pPr>
              <w:pStyle w:val="a3"/>
              <w:spacing w:line="360" w:lineRule="auto"/>
              <w:jc w:val="both"/>
              <w:rPr>
                <w:sz w:val="24"/>
                <w:szCs w:val="24"/>
              </w:rPr>
            </w:pPr>
            <w:r w:rsidRPr="002662AC">
              <w:rPr>
                <w:sz w:val="24"/>
                <w:szCs w:val="24"/>
              </w:rPr>
              <w:t>(1)</w:t>
            </w:r>
          </w:p>
        </w:tc>
      </w:tr>
      <w:tr w:rsidR="005B75AB" w:rsidRPr="002662AC" w14:paraId="28C9A976" w14:textId="77777777" w:rsidTr="00D85DDE">
        <w:tc>
          <w:tcPr>
            <w:tcW w:w="710" w:type="dxa"/>
            <w:shd w:val="clear" w:color="auto" w:fill="auto"/>
          </w:tcPr>
          <w:p w14:paraId="0CB3C164" w14:textId="77777777" w:rsidR="005B75AB" w:rsidRPr="002662AC" w:rsidRDefault="005B75AB" w:rsidP="005748FB">
            <w:pPr>
              <w:pStyle w:val="a3"/>
              <w:spacing w:line="360" w:lineRule="auto"/>
              <w:jc w:val="both"/>
              <w:rPr>
                <w:sz w:val="24"/>
                <w:szCs w:val="24"/>
              </w:rPr>
            </w:pPr>
            <w:r w:rsidRPr="002662AC">
              <w:rPr>
                <w:sz w:val="24"/>
                <w:szCs w:val="24"/>
              </w:rPr>
              <w:t>2.</w:t>
            </w:r>
          </w:p>
        </w:tc>
        <w:tc>
          <w:tcPr>
            <w:tcW w:w="3379" w:type="dxa"/>
            <w:shd w:val="clear" w:color="auto" w:fill="auto"/>
          </w:tcPr>
          <w:p w14:paraId="3ED0C121" w14:textId="4942F3C0" w:rsidR="005B75AB" w:rsidRPr="00883D30" w:rsidRDefault="00883D30" w:rsidP="005748FB">
            <w:pPr>
              <w:pStyle w:val="a3"/>
              <w:spacing w:line="360" w:lineRule="auto"/>
              <w:jc w:val="both"/>
              <w:rPr>
                <w:sz w:val="24"/>
                <w:szCs w:val="24"/>
                <w:lang w:val="en-US"/>
              </w:rPr>
            </w:pPr>
            <w:r w:rsidRPr="00883D30">
              <w:rPr>
                <w:sz w:val="24"/>
                <w:szCs w:val="24"/>
                <w:lang w:val="en-US"/>
              </w:rPr>
              <w:t xml:space="preserve">Inflammatory diseases of vulva and vagina </w:t>
            </w:r>
            <w:r w:rsidR="0008038F" w:rsidRPr="00883D30">
              <w:rPr>
                <w:sz w:val="24"/>
                <w:szCs w:val="24"/>
                <w:lang w:val="en-US"/>
              </w:rPr>
              <w:t>(</w:t>
            </w:r>
            <w:r w:rsidR="005B75AB" w:rsidRPr="002662AC">
              <w:rPr>
                <w:sz w:val="24"/>
                <w:szCs w:val="24"/>
                <w:lang w:val="en-US"/>
              </w:rPr>
              <w:t>N</w:t>
            </w:r>
            <w:r w:rsidR="005B75AB" w:rsidRPr="00883D30">
              <w:rPr>
                <w:sz w:val="24"/>
                <w:szCs w:val="24"/>
                <w:lang w:val="en-US"/>
              </w:rPr>
              <w:t>75</w:t>
            </w:r>
            <w:r w:rsidR="0008038F" w:rsidRPr="00883D30">
              <w:rPr>
                <w:sz w:val="24"/>
                <w:szCs w:val="24"/>
                <w:lang w:val="en-US"/>
              </w:rPr>
              <w:t>–</w:t>
            </w:r>
            <w:r w:rsidR="005B75AB" w:rsidRPr="00883D30">
              <w:rPr>
                <w:sz w:val="24"/>
                <w:szCs w:val="24"/>
                <w:lang w:val="en-US"/>
              </w:rPr>
              <w:t>77</w:t>
            </w:r>
            <w:r w:rsidR="0008038F" w:rsidRPr="00883D30">
              <w:rPr>
                <w:sz w:val="24"/>
                <w:szCs w:val="24"/>
                <w:lang w:val="en-US"/>
              </w:rPr>
              <w:t>)</w:t>
            </w:r>
          </w:p>
        </w:tc>
        <w:tc>
          <w:tcPr>
            <w:tcW w:w="1440" w:type="dxa"/>
            <w:shd w:val="clear" w:color="auto" w:fill="auto"/>
          </w:tcPr>
          <w:p w14:paraId="698DD6FE" w14:textId="77777777" w:rsidR="005B75AB" w:rsidRPr="002662AC" w:rsidRDefault="005B75AB" w:rsidP="005748FB">
            <w:pPr>
              <w:pStyle w:val="a3"/>
              <w:spacing w:line="360" w:lineRule="auto"/>
              <w:jc w:val="both"/>
              <w:rPr>
                <w:sz w:val="24"/>
                <w:szCs w:val="24"/>
              </w:rPr>
            </w:pPr>
            <w:r w:rsidRPr="002662AC">
              <w:rPr>
                <w:sz w:val="24"/>
                <w:szCs w:val="24"/>
              </w:rPr>
              <w:t>15,3%</w:t>
            </w:r>
          </w:p>
          <w:p w14:paraId="017DBD79" w14:textId="77777777" w:rsidR="005B75AB" w:rsidRPr="002662AC" w:rsidRDefault="005B75AB" w:rsidP="005748FB">
            <w:pPr>
              <w:pStyle w:val="a3"/>
              <w:spacing w:line="360" w:lineRule="auto"/>
              <w:jc w:val="both"/>
              <w:rPr>
                <w:sz w:val="24"/>
                <w:szCs w:val="24"/>
              </w:rPr>
            </w:pPr>
            <w:r w:rsidRPr="002662AC">
              <w:rPr>
                <w:sz w:val="24"/>
                <w:szCs w:val="24"/>
              </w:rPr>
              <w:t>(2)</w:t>
            </w:r>
          </w:p>
        </w:tc>
        <w:tc>
          <w:tcPr>
            <w:tcW w:w="567" w:type="dxa"/>
            <w:shd w:val="clear" w:color="auto" w:fill="auto"/>
          </w:tcPr>
          <w:p w14:paraId="4FDA6D59" w14:textId="77777777" w:rsidR="005B75AB" w:rsidRPr="002662AC" w:rsidRDefault="005B75AB" w:rsidP="005748FB">
            <w:pPr>
              <w:pStyle w:val="a3"/>
              <w:spacing w:line="360" w:lineRule="auto"/>
              <w:jc w:val="both"/>
              <w:rPr>
                <w:sz w:val="24"/>
                <w:szCs w:val="24"/>
              </w:rPr>
            </w:pPr>
            <w:r w:rsidRPr="002662AC">
              <w:rPr>
                <w:sz w:val="24"/>
                <w:szCs w:val="24"/>
              </w:rPr>
              <w:t>2.</w:t>
            </w:r>
          </w:p>
        </w:tc>
        <w:tc>
          <w:tcPr>
            <w:tcW w:w="2353" w:type="dxa"/>
            <w:shd w:val="clear" w:color="auto" w:fill="auto"/>
          </w:tcPr>
          <w:p w14:paraId="09A1D77D" w14:textId="5E372A27" w:rsidR="005B75AB" w:rsidRPr="002662AC" w:rsidRDefault="00883D30" w:rsidP="005748FB">
            <w:pPr>
              <w:pStyle w:val="a3"/>
              <w:spacing w:line="360" w:lineRule="auto"/>
              <w:jc w:val="both"/>
              <w:rPr>
                <w:sz w:val="24"/>
                <w:szCs w:val="24"/>
              </w:rPr>
            </w:pPr>
            <w:r>
              <w:rPr>
                <w:sz w:val="24"/>
                <w:szCs w:val="24"/>
                <w:lang w:val="en-US"/>
              </w:rPr>
              <w:t>V</w:t>
            </w:r>
            <w:r w:rsidRPr="00883D30">
              <w:rPr>
                <w:sz w:val="24"/>
                <w:szCs w:val="24"/>
              </w:rPr>
              <w:t xml:space="preserve">aricocele </w:t>
            </w:r>
            <w:r w:rsidR="005B75AB" w:rsidRPr="002662AC">
              <w:rPr>
                <w:sz w:val="24"/>
                <w:szCs w:val="24"/>
              </w:rPr>
              <w:t>(I86.1)</w:t>
            </w:r>
          </w:p>
        </w:tc>
        <w:tc>
          <w:tcPr>
            <w:tcW w:w="1298" w:type="dxa"/>
            <w:shd w:val="clear" w:color="auto" w:fill="auto"/>
          </w:tcPr>
          <w:p w14:paraId="20D4816C" w14:textId="77777777" w:rsidR="005B75AB" w:rsidRPr="002662AC" w:rsidRDefault="005B75AB" w:rsidP="005748FB">
            <w:pPr>
              <w:pStyle w:val="a3"/>
              <w:spacing w:line="360" w:lineRule="auto"/>
              <w:jc w:val="both"/>
              <w:rPr>
                <w:sz w:val="24"/>
                <w:szCs w:val="24"/>
              </w:rPr>
            </w:pPr>
            <w:r w:rsidRPr="002662AC">
              <w:rPr>
                <w:sz w:val="24"/>
                <w:szCs w:val="24"/>
              </w:rPr>
              <w:t>23,1%</w:t>
            </w:r>
          </w:p>
          <w:p w14:paraId="1375C9C1" w14:textId="77777777" w:rsidR="005B75AB" w:rsidRPr="002662AC" w:rsidRDefault="005B75AB" w:rsidP="005748FB">
            <w:pPr>
              <w:pStyle w:val="a3"/>
              <w:spacing w:line="360" w:lineRule="auto"/>
              <w:jc w:val="both"/>
              <w:rPr>
                <w:sz w:val="24"/>
                <w:szCs w:val="24"/>
              </w:rPr>
            </w:pPr>
            <w:r w:rsidRPr="002662AC">
              <w:rPr>
                <w:sz w:val="24"/>
                <w:szCs w:val="24"/>
              </w:rPr>
              <w:t>(2)</w:t>
            </w:r>
          </w:p>
        </w:tc>
      </w:tr>
      <w:tr w:rsidR="005B75AB" w:rsidRPr="002662AC" w14:paraId="583F9F37" w14:textId="77777777" w:rsidTr="00D85DDE">
        <w:tc>
          <w:tcPr>
            <w:tcW w:w="710" w:type="dxa"/>
            <w:shd w:val="clear" w:color="auto" w:fill="auto"/>
          </w:tcPr>
          <w:p w14:paraId="5B76DE1F" w14:textId="77777777" w:rsidR="005B75AB" w:rsidRPr="002662AC" w:rsidRDefault="005B75AB" w:rsidP="005748FB">
            <w:pPr>
              <w:pStyle w:val="a3"/>
              <w:spacing w:line="360" w:lineRule="auto"/>
              <w:jc w:val="both"/>
              <w:rPr>
                <w:sz w:val="24"/>
                <w:szCs w:val="24"/>
              </w:rPr>
            </w:pPr>
            <w:r w:rsidRPr="002662AC">
              <w:rPr>
                <w:sz w:val="24"/>
                <w:szCs w:val="24"/>
              </w:rPr>
              <w:t>3.</w:t>
            </w:r>
          </w:p>
        </w:tc>
        <w:tc>
          <w:tcPr>
            <w:tcW w:w="3379" w:type="dxa"/>
            <w:shd w:val="clear" w:color="auto" w:fill="auto"/>
          </w:tcPr>
          <w:p w14:paraId="3D88C7BB" w14:textId="3238FE13" w:rsidR="005B75AB" w:rsidRPr="00883D30" w:rsidRDefault="00883D30" w:rsidP="005748FB">
            <w:pPr>
              <w:pStyle w:val="a3"/>
              <w:spacing w:line="360" w:lineRule="auto"/>
              <w:jc w:val="both"/>
              <w:rPr>
                <w:sz w:val="24"/>
                <w:szCs w:val="24"/>
                <w:lang w:val="en-US"/>
              </w:rPr>
            </w:pPr>
            <w:r w:rsidRPr="00883D30">
              <w:rPr>
                <w:sz w:val="24"/>
                <w:szCs w:val="24"/>
                <w:lang w:val="en-US"/>
              </w:rPr>
              <w:t xml:space="preserve">Non-inflammatory female genital organs diseases </w:t>
            </w:r>
            <w:r w:rsidR="0008038F" w:rsidRPr="00883D30">
              <w:rPr>
                <w:sz w:val="24"/>
                <w:szCs w:val="24"/>
                <w:lang w:val="en-US"/>
              </w:rPr>
              <w:t>(</w:t>
            </w:r>
            <w:r w:rsidR="005B75AB" w:rsidRPr="00883D30">
              <w:rPr>
                <w:sz w:val="24"/>
                <w:szCs w:val="24"/>
                <w:lang w:val="en-US"/>
              </w:rPr>
              <w:t>N80</w:t>
            </w:r>
            <w:r w:rsidR="0008038F" w:rsidRPr="00883D30">
              <w:rPr>
                <w:sz w:val="24"/>
                <w:szCs w:val="24"/>
                <w:lang w:val="en-US"/>
              </w:rPr>
              <w:t>–</w:t>
            </w:r>
            <w:r w:rsidR="005B75AB" w:rsidRPr="00883D30">
              <w:rPr>
                <w:sz w:val="24"/>
                <w:szCs w:val="24"/>
                <w:lang w:val="en-US"/>
              </w:rPr>
              <w:t>98</w:t>
            </w:r>
            <w:r w:rsidR="0008038F" w:rsidRPr="00883D30">
              <w:rPr>
                <w:sz w:val="24"/>
                <w:szCs w:val="24"/>
                <w:lang w:val="en-US"/>
              </w:rPr>
              <w:t>)</w:t>
            </w:r>
          </w:p>
        </w:tc>
        <w:tc>
          <w:tcPr>
            <w:tcW w:w="1440" w:type="dxa"/>
            <w:shd w:val="clear" w:color="auto" w:fill="auto"/>
          </w:tcPr>
          <w:p w14:paraId="43631E09" w14:textId="77777777" w:rsidR="005B75AB" w:rsidRPr="002662AC" w:rsidRDefault="005B75AB" w:rsidP="005748FB">
            <w:pPr>
              <w:pStyle w:val="a3"/>
              <w:spacing w:line="360" w:lineRule="auto"/>
              <w:jc w:val="both"/>
              <w:rPr>
                <w:sz w:val="24"/>
                <w:szCs w:val="24"/>
              </w:rPr>
            </w:pPr>
            <w:r w:rsidRPr="002662AC">
              <w:rPr>
                <w:sz w:val="24"/>
                <w:szCs w:val="24"/>
              </w:rPr>
              <w:t>8,3%</w:t>
            </w:r>
          </w:p>
          <w:p w14:paraId="4C841596" w14:textId="77777777" w:rsidR="005B75AB" w:rsidRPr="002662AC" w:rsidRDefault="005B75AB" w:rsidP="005748FB">
            <w:pPr>
              <w:pStyle w:val="a3"/>
              <w:spacing w:line="360" w:lineRule="auto"/>
              <w:jc w:val="both"/>
              <w:rPr>
                <w:sz w:val="24"/>
                <w:szCs w:val="24"/>
              </w:rPr>
            </w:pPr>
            <w:r w:rsidRPr="002662AC">
              <w:rPr>
                <w:sz w:val="24"/>
                <w:szCs w:val="24"/>
              </w:rPr>
              <w:t>(3)</w:t>
            </w:r>
          </w:p>
        </w:tc>
        <w:tc>
          <w:tcPr>
            <w:tcW w:w="567" w:type="dxa"/>
            <w:shd w:val="clear" w:color="auto" w:fill="auto"/>
          </w:tcPr>
          <w:p w14:paraId="023CFEED" w14:textId="77777777" w:rsidR="005B75AB" w:rsidRPr="002662AC" w:rsidRDefault="005B75AB" w:rsidP="005748FB">
            <w:pPr>
              <w:pStyle w:val="a3"/>
              <w:spacing w:line="360" w:lineRule="auto"/>
              <w:jc w:val="both"/>
              <w:rPr>
                <w:sz w:val="24"/>
                <w:szCs w:val="24"/>
              </w:rPr>
            </w:pPr>
            <w:r w:rsidRPr="002662AC">
              <w:rPr>
                <w:sz w:val="24"/>
                <w:szCs w:val="24"/>
              </w:rPr>
              <w:t>3.</w:t>
            </w:r>
          </w:p>
        </w:tc>
        <w:tc>
          <w:tcPr>
            <w:tcW w:w="2353" w:type="dxa"/>
            <w:shd w:val="clear" w:color="auto" w:fill="auto"/>
          </w:tcPr>
          <w:p w14:paraId="790C7EFE" w14:textId="5B29AF77" w:rsidR="005B75AB" w:rsidRPr="002662AC" w:rsidRDefault="00883D30" w:rsidP="005748FB">
            <w:pPr>
              <w:pStyle w:val="a3"/>
              <w:spacing w:line="360" w:lineRule="auto"/>
              <w:jc w:val="both"/>
              <w:rPr>
                <w:sz w:val="24"/>
                <w:szCs w:val="24"/>
              </w:rPr>
            </w:pPr>
            <w:r w:rsidRPr="00883D30">
              <w:rPr>
                <w:sz w:val="24"/>
                <w:szCs w:val="24"/>
                <w:lang w:val="en-US"/>
              </w:rPr>
              <w:t xml:space="preserve">Other disorders of penis </w:t>
            </w:r>
            <w:r w:rsidR="0008038F" w:rsidRPr="00883D30">
              <w:rPr>
                <w:sz w:val="24"/>
                <w:szCs w:val="24"/>
                <w:lang w:val="en-US"/>
              </w:rPr>
              <w:t>—</w:t>
            </w:r>
            <w:r w:rsidR="005B75AB" w:rsidRPr="00883D30">
              <w:rPr>
                <w:sz w:val="24"/>
                <w:szCs w:val="24"/>
                <w:lang w:val="en-US"/>
              </w:rPr>
              <w:t xml:space="preserve"> </w:t>
            </w:r>
            <w:r>
              <w:rPr>
                <w:sz w:val="24"/>
                <w:szCs w:val="24"/>
                <w:lang w:val="en-US"/>
              </w:rPr>
              <w:t>l</w:t>
            </w:r>
            <w:r w:rsidRPr="00883D30">
              <w:rPr>
                <w:sz w:val="24"/>
                <w:szCs w:val="24"/>
                <w:lang w:val="en-US"/>
              </w:rPr>
              <w:t>eukoplakia</w:t>
            </w:r>
            <w:r w:rsidR="005B75AB" w:rsidRPr="00883D30">
              <w:rPr>
                <w:sz w:val="24"/>
                <w:szCs w:val="24"/>
                <w:lang w:val="en-US"/>
              </w:rPr>
              <w:t xml:space="preserve">, </w:t>
            </w:r>
            <w:r w:rsidRPr="00883D30">
              <w:rPr>
                <w:sz w:val="24"/>
                <w:szCs w:val="24"/>
                <w:lang w:val="en-US"/>
              </w:rPr>
              <w:t>balanoposthitis</w:t>
            </w:r>
            <w:r w:rsidR="005B75AB" w:rsidRPr="00883D30">
              <w:rPr>
                <w:sz w:val="24"/>
                <w:szCs w:val="24"/>
                <w:lang w:val="en-US"/>
              </w:rPr>
              <w:t xml:space="preserve">, </w:t>
            </w:r>
            <w:r w:rsidRPr="00883D30">
              <w:rPr>
                <w:sz w:val="24"/>
                <w:szCs w:val="24"/>
                <w:lang w:val="en-US"/>
              </w:rPr>
              <w:t>balanitis</w:t>
            </w:r>
            <w:r>
              <w:rPr>
                <w:sz w:val="24"/>
                <w:szCs w:val="24"/>
                <w:lang w:val="en-US"/>
              </w:rPr>
              <w:t>,</w:t>
            </w:r>
            <w:r w:rsidRPr="00883D30">
              <w:rPr>
                <w:sz w:val="24"/>
                <w:szCs w:val="24"/>
                <w:lang w:val="en-US"/>
              </w:rPr>
              <w:t xml:space="preserve"> </w:t>
            </w:r>
            <w:r>
              <w:rPr>
                <w:sz w:val="24"/>
                <w:szCs w:val="24"/>
                <w:lang w:val="en-US"/>
              </w:rPr>
              <w:t>etc</w:t>
            </w:r>
            <w:r w:rsidR="005B75AB" w:rsidRPr="00883D30">
              <w:rPr>
                <w:sz w:val="24"/>
                <w:szCs w:val="24"/>
                <w:lang w:val="en-US"/>
              </w:rPr>
              <w:t xml:space="preserve">. </w:t>
            </w:r>
            <w:r w:rsidR="005B75AB" w:rsidRPr="002662AC">
              <w:rPr>
                <w:sz w:val="24"/>
                <w:szCs w:val="24"/>
              </w:rPr>
              <w:t>(N48)</w:t>
            </w:r>
          </w:p>
        </w:tc>
        <w:tc>
          <w:tcPr>
            <w:tcW w:w="1298" w:type="dxa"/>
            <w:shd w:val="clear" w:color="auto" w:fill="auto"/>
          </w:tcPr>
          <w:p w14:paraId="5075FA12" w14:textId="05FCF6BF" w:rsidR="0008038F" w:rsidRDefault="00243B1F" w:rsidP="005748FB">
            <w:pPr>
              <w:pStyle w:val="a3"/>
              <w:spacing w:line="360" w:lineRule="auto"/>
              <w:jc w:val="both"/>
              <w:rPr>
                <w:sz w:val="24"/>
                <w:szCs w:val="24"/>
              </w:rPr>
            </w:pPr>
            <w:r w:rsidRPr="002662AC">
              <w:rPr>
                <w:sz w:val="24"/>
                <w:szCs w:val="24"/>
              </w:rPr>
              <w:t>14,1</w:t>
            </w:r>
            <w:r w:rsidRPr="002662AC">
              <w:rPr>
                <w:sz w:val="24"/>
                <w:szCs w:val="24"/>
                <w:lang w:val="en-US"/>
              </w:rPr>
              <w:t>%</w:t>
            </w:r>
          </w:p>
          <w:p w14:paraId="6F70DF9E" w14:textId="5907760E" w:rsidR="005B75AB" w:rsidRPr="002662AC" w:rsidRDefault="00243B1F" w:rsidP="005748FB">
            <w:pPr>
              <w:pStyle w:val="a3"/>
              <w:spacing w:line="360" w:lineRule="auto"/>
              <w:jc w:val="both"/>
              <w:rPr>
                <w:sz w:val="24"/>
                <w:szCs w:val="24"/>
              </w:rPr>
            </w:pPr>
            <w:r w:rsidRPr="002662AC">
              <w:rPr>
                <w:sz w:val="24"/>
                <w:szCs w:val="24"/>
              </w:rPr>
              <w:t>(3)</w:t>
            </w:r>
          </w:p>
        </w:tc>
      </w:tr>
      <w:tr w:rsidR="005B75AB" w:rsidRPr="002662AC" w14:paraId="4BC2DA48" w14:textId="77777777" w:rsidTr="00D85DDE">
        <w:tc>
          <w:tcPr>
            <w:tcW w:w="710" w:type="dxa"/>
            <w:shd w:val="clear" w:color="auto" w:fill="auto"/>
          </w:tcPr>
          <w:p w14:paraId="1BCBF3B3" w14:textId="77777777" w:rsidR="005B75AB" w:rsidRPr="002662AC" w:rsidRDefault="005B75AB" w:rsidP="005748FB">
            <w:pPr>
              <w:pStyle w:val="a3"/>
              <w:spacing w:line="360" w:lineRule="auto"/>
              <w:jc w:val="both"/>
              <w:rPr>
                <w:sz w:val="24"/>
                <w:szCs w:val="24"/>
              </w:rPr>
            </w:pPr>
            <w:r w:rsidRPr="002662AC">
              <w:rPr>
                <w:sz w:val="24"/>
                <w:szCs w:val="24"/>
              </w:rPr>
              <w:t>4.</w:t>
            </w:r>
          </w:p>
        </w:tc>
        <w:tc>
          <w:tcPr>
            <w:tcW w:w="3379" w:type="dxa"/>
            <w:shd w:val="clear" w:color="auto" w:fill="auto"/>
          </w:tcPr>
          <w:p w14:paraId="7A50D105" w14:textId="2C9E0AAA" w:rsidR="005B75AB" w:rsidRPr="00883D30" w:rsidRDefault="00883D30" w:rsidP="005748FB">
            <w:pPr>
              <w:pStyle w:val="a3"/>
              <w:spacing w:line="360" w:lineRule="auto"/>
              <w:jc w:val="both"/>
              <w:rPr>
                <w:sz w:val="24"/>
                <w:szCs w:val="24"/>
                <w:lang w:val="en-US"/>
              </w:rPr>
            </w:pPr>
            <w:r w:rsidRPr="00883D30">
              <w:rPr>
                <w:sz w:val="24"/>
                <w:szCs w:val="24"/>
                <w:lang w:val="en-US"/>
              </w:rPr>
              <w:t xml:space="preserve">Breast diseases </w:t>
            </w:r>
            <w:r w:rsidR="0008038F" w:rsidRPr="00883D30">
              <w:rPr>
                <w:sz w:val="24"/>
                <w:szCs w:val="24"/>
                <w:lang w:val="en-US"/>
              </w:rPr>
              <w:t>(</w:t>
            </w:r>
            <w:r w:rsidR="005B75AB" w:rsidRPr="00883D30">
              <w:rPr>
                <w:sz w:val="24"/>
                <w:szCs w:val="24"/>
                <w:lang w:val="en-US"/>
              </w:rPr>
              <w:t xml:space="preserve">N60–64, </w:t>
            </w:r>
            <w:r w:rsidR="005B75AB" w:rsidRPr="002662AC">
              <w:rPr>
                <w:sz w:val="24"/>
                <w:szCs w:val="24"/>
              </w:rPr>
              <w:t>С</w:t>
            </w:r>
            <w:r w:rsidR="005B75AB" w:rsidRPr="00883D30">
              <w:rPr>
                <w:sz w:val="24"/>
                <w:szCs w:val="24"/>
                <w:lang w:val="en-US"/>
              </w:rPr>
              <w:t>50, D24</w:t>
            </w:r>
            <w:r w:rsidR="0008038F" w:rsidRPr="00883D30">
              <w:rPr>
                <w:sz w:val="24"/>
                <w:szCs w:val="24"/>
                <w:lang w:val="en-US"/>
              </w:rPr>
              <w:t>)</w:t>
            </w:r>
          </w:p>
        </w:tc>
        <w:tc>
          <w:tcPr>
            <w:tcW w:w="1440" w:type="dxa"/>
            <w:shd w:val="clear" w:color="auto" w:fill="auto"/>
          </w:tcPr>
          <w:p w14:paraId="096FB976" w14:textId="766A2EA4" w:rsidR="005B75AB" w:rsidRPr="002662AC" w:rsidRDefault="005B75AB" w:rsidP="005748FB">
            <w:pPr>
              <w:pStyle w:val="a3"/>
              <w:spacing w:line="360" w:lineRule="auto"/>
              <w:jc w:val="both"/>
              <w:rPr>
                <w:sz w:val="24"/>
                <w:szCs w:val="24"/>
              </w:rPr>
            </w:pPr>
            <w:r w:rsidRPr="002662AC">
              <w:rPr>
                <w:sz w:val="24"/>
                <w:szCs w:val="24"/>
              </w:rPr>
              <w:t>3,0</w:t>
            </w:r>
            <w:r w:rsidR="0008038F">
              <w:rPr>
                <w:sz w:val="24"/>
                <w:szCs w:val="24"/>
              </w:rPr>
              <w:t>%</w:t>
            </w:r>
          </w:p>
          <w:p w14:paraId="1E2A9519" w14:textId="77777777" w:rsidR="005B75AB" w:rsidRPr="002662AC" w:rsidRDefault="005B75AB" w:rsidP="005748FB">
            <w:pPr>
              <w:pStyle w:val="a3"/>
              <w:spacing w:line="360" w:lineRule="auto"/>
              <w:jc w:val="both"/>
              <w:rPr>
                <w:sz w:val="24"/>
                <w:szCs w:val="24"/>
              </w:rPr>
            </w:pPr>
            <w:r w:rsidRPr="002662AC">
              <w:rPr>
                <w:sz w:val="24"/>
                <w:szCs w:val="24"/>
              </w:rPr>
              <w:t>(4)</w:t>
            </w:r>
          </w:p>
        </w:tc>
        <w:tc>
          <w:tcPr>
            <w:tcW w:w="567" w:type="dxa"/>
            <w:shd w:val="clear" w:color="auto" w:fill="auto"/>
          </w:tcPr>
          <w:p w14:paraId="62A6A085" w14:textId="77777777" w:rsidR="005B75AB" w:rsidRPr="002662AC" w:rsidRDefault="005B75AB" w:rsidP="005748FB">
            <w:pPr>
              <w:pStyle w:val="a3"/>
              <w:spacing w:line="360" w:lineRule="auto"/>
              <w:jc w:val="both"/>
              <w:rPr>
                <w:sz w:val="24"/>
                <w:szCs w:val="24"/>
              </w:rPr>
            </w:pPr>
            <w:r w:rsidRPr="002662AC">
              <w:rPr>
                <w:sz w:val="24"/>
                <w:szCs w:val="24"/>
              </w:rPr>
              <w:t>4.</w:t>
            </w:r>
          </w:p>
        </w:tc>
        <w:tc>
          <w:tcPr>
            <w:tcW w:w="2353" w:type="dxa"/>
            <w:shd w:val="clear" w:color="auto" w:fill="auto"/>
          </w:tcPr>
          <w:p w14:paraId="2D68F040" w14:textId="035493E6" w:rsidR="005B75AB" w:rsidRPr="002662AC" w:rsidRDefault="00883D30" w:rsidP="005748FB">
            <w:pPr>
              <w:pStyle w:val="a3"/>
              <w:spacing w:line="360" w:lineRule="auto"/>
              <w:jc w:val="both"/>
              <w:rPr>
                <w:sz w:val="24"/>
                <w:szCs w:val="24"/>
              </w:rPr>
            </w:pPr>
            <w:r w:rsidRPr="00883D30">
              <w:rPr>
                <w:sz w:val="24"/>
                <w:szCs w:val="24"/>
              </w:rPr>
              <w:t xml:space="preserve">Hydrocele and spermatocele </w:t>
            </w:r>
            <w:r w:rsidR="005B75AB" w:rsidRPr="002662AC">
              <w:rPr>
                <w:sz w:val="24"/>
                <w:szCs w:val="24"/>
              </w:rPr>
              <w:t>(</w:t>
            </w:r>
            <w:r w:rsidR="005B75AB" w:rsidRPr="002662AC">
              <w:rPr>
                <w:sz w:val="24"/>
                <w:szCs w:val="24"/>
                <w:lang w:val="en-US"/>
              </w:rPr>
              <w:t>N</w:t>
            </w:r>
            <w:r w:rsidR="005B75AB" w:rsidRPr="002662AC">
              <w:rPr>
                <w:sz w:val="24"/>
                <w:szCs w:val="24"/>
              </w:rPr>
              <w:t>43)</w:t>
            </w:r>
          </w:p>
        </w:tc>
        <w:tc>
          <w:tcPr>
            <w:tcW w:w="1298" w:type="dxa"/>
            <w:shd w:val="clear" w:color="auto" w:fill="auto"/>
          </w:tcPr>
          <w:p w14:paraId="2DD58A3D" w14:textId="107D2E4E" w:rsidR="005B75AB" w:rsidRPr="002662AC" w:rsidRDefault="005B75AB" w:rsidP="005748FB">
            <w:pPr>
              <w:pStyle w:val="a3"/>
              <w:spacing w:line="360" w:lineRule="auto"/>
              <w:jc w:val="both"/>
              <w:rPr>
                <w:sz w:val="24"/>
                <w:szCs w:val="24"/>
              </w:rPr>
            </w:pPr>
            <w:r w:rsidRPr="002662AC">
              <w:rPr>
                <w:sz w:val="24"/>
                <w:szCs w:val="24"/>
              </w:rPr>
              <w:t>11,05</w:t>
            </w:r>
            <w:r w:rsidR="0008038F">
              <w:rPr>
                <w:sz w:val="24"/>
                <w:szCs w:val="24"/>
              </w:rPr>
              <w:t>%</w:t>
            </w:r>
          </w:p>
          <w:p w14:paraId="74250878" w14:textId="77777777" w:rsidR="005B75AB" w:rsidRPr="002662AC" w:rsidRDefault="005B75AB" w:rsidP="005748FB">
            <w:pPr>
              <w:pStyle w:val="a3"/>
              <w:spacing w:line="360" w:lineRule="auto"/>
              <w:jc w:val="both"/>
              <w:rPr>
                <w:sz w:val="24"/>
                <w:szCs w:val="24"/>
              </w:rPr>
            </w:pPr>
            <w:r w:rsidRPr="002662AC">
              <w:rPr>
                <w:sz w:val="24"/>
                <w:szCs w:val="24"/>
              </w:rPr>
              <w:t>(4)</w:t>
            </w:r>
          </w:p>
        </w:tc>
      </w:tr>
      <w:tr w:rsidR="005B75AB" w:rsidRPr="002662AC" w14:paraId="70A881D0" w14:textId="77777777" w:rsidTr="00D85DDE">
        <w:tc>
          <w:tcPr>
            <w:tcW w:w="710" w:type="dxa"/>
            <w:shd w:val="clear" w:color="auto" w:fill="auto"/>
          </w:tcPr>
          <w:p w14:paraId="0D3CCB36" w14:textId="77777777" w:rsidR="005B75AB" w:rsidRPr="002662AC" w:rsidRDefault="005B75AB" w:rsidP="005748FB">
            <w:pPr>
              <w:pStyle w:val="a3"/>
              <w:spacing w:line="360" w:lineRule="auto"/>
              <w:jc w:val="both"/>
              <w:rPr>
                <w:sz w:val="24"/>
                <w:szCs w:val="24"/>
              </w:rPr>
            </w:pPr>
            <w:r w:rsidRPr="002662AC">
              <w:rPr>
                <w:sz w:val="24"/>
                <w:szCs w:val="24"/>
              </w:rPr>
              <w:t>5.</w:t>
            </w:r>
          </w:p>
        </w:tc>
        <w:tc>
          <w:tcPr>
            <w:tcW w:w="3379" w:type="dxa"/>
            <w:shd w:val="clear" w:color="auto" w:fill="auto"/>
          </w:tcPr>
          <w:p w14:paraId="704C7BEE" w14:textId="6441AD3E" w:rsidR="005B75AB" w:rsidRPr="00883D30" w:rsidRDefault="00883D30" w:rsidP="005748FB">
            <w:pPr>
              <w:pStyle w:val="a3"/>
              <w:spacing w:line="360" w:lineRule="auto"/>
              <w:jc w:val="both"/>
              <w:rPr>
                <w:sz w:val="24"/>
                <w:szCs w:val="24"/>
                <w:lang w:val="en-US"/>
              </w:rPr>
            </w:pPr>
            <w:r>
              <w:rPr>
                <w:sz w:val="24"/>
                <w:szCs w:val="24"/>
                <w:lang w:val="en-US"/>
              </w:rPr>
              <w:t>Others</w:t>
            </w:r>
          </w:p>
        </w:tc>
        <w:tc>
          <w:tcPr>
            <w:tcW w:w="1440" w:type="dxa"/>
            <w:shd w:val="clear" w:color="auto" w:fill="auto"/>
          </w:tcPr>
          <w:p w14:paraId="413B44D5" w14:textId="77777777" w:rsidR="005B75AB" w:rsidRPr="002662AC" w:rsidRDefault="005B75AB" w:rsidP="005748FB">
            <w:pPr>
              <w:pStyle w:val="a3"/>
              <w:spacing w:line="360" w:lineRule="auto"/>
              <w:jc w:val="both"/>
              <w:rPr>
                <w:sz w:val="24"/>
                <w:szCs w:val="24"/>
              </w:rPr>
            </w:pPr>
            <w:r w:rsidRPr="002662AC">
              <w:rPr>
                <w:sz w:val="24"/>
                <w:szCs w:val="24"/>
              </w:rPr>
              <w:t>1,4%</w:t>
            </w:r>
          </w:p>
          <w:p w14:paraId="19CC8476" w14:textId="77777777" w:rsidR="005B75AB" w:rsidRPr="002662AC" w:rsidRDefault="005B75AB" w:rsidP="005748FB">
            <w:pPr>
              <w:pStyle w:val="a3"/>
              <w:spacing w:line="360" w:lineRule="auto"/>
              <w:jc w:val="both"/>
              <w:rPr>
                <w:sz w:val="24"/>
                <w:szCs w:val="24"/>
              </w:rPr>
            </w:pPr>
            <w:r w:rsidRPr="002662AC">
              <w:rPr>
                <w:sz w:val="24"/>
                <w:szCs w:val="24"/>
              </w:rPr>
              <w:t>(5)</w:t>
            </w:r>
          </w:p>
        </w:tc>
        <w:tc>
          <w:tcPr>
            <w:tcW w:w="567" w:type="dxa"/>
            <w:shd w:val="clear" w:color="auto" w:fill="auto"/>
          </w:tcPr>
          <w:p w14:paraId="5602579E" w14:textId="77777777" w:rsidR="005B75AB" w:rsidRPr="002662AC" w:rsidRDefault="005B75AB" w:rsidP="005748FB">
            <w:pPr>
              <w:pStyle w:val="a3"/>
              <w:spacing w:line="360" w:lineRule="auto"/>
              <w:jc w:val="both"/>
              <w:rPr>
                <w:sz w:val="24"/>
                <w:szCs w:val="24"/>
              </w:rPr>
            </w:pPr>
            <w:r w:rsidRPr="002662AC">
              <w:rPr>
                <w:sz w:val="24"/>
                <w:szCs w:val="24"/>
              </w:rPr>
              <w:t>5.</w:t>
            </w:r>
          </w:p>
        </w:tc>
        <w:tc>
          <w:tcPr>
            <w:tcW w:w="2353" w:type="dxa"/>
            <w:shd w:val="clear" w:color="auto" w:fill="auto"/>
          </w:tcPr>
          <w:p w14:paraId="32E81D71" w14:textId="57DBC437" w:rsidR="005B75AB" w:rsidRPr="00883D30" w:rsidRDefault="00883D30" w:rsidP="005748FB">
            <w:pPr>
              <w:pStyle w:val="a3"/>
              <w:spacing w:line="360" w:lineRule="auto"/>
              <w:jc w:val="both"/>
              <w:rPr>
                <w:sz w:val="24"/>
                <w:szCs w:val="24"/>
                <w:lang w:val="en-US"/>
              </w:rPr>
            </w:pPr>
            <w:r w:rsidRPr="00883D30">
              <w:rPr>
                <w:sz w:val="24"/>
                <w:szCs w:val="24"/>
                <w:lang w:val="en-US"/>
              </w:rPr>
              <w:t>Cystitis</w:t>
            </w:r>
            <w:r w:rsidR="005B75AB" w:rsidRPr="00883D30">
              <w:rPr>
                <w:sz w:val="24"/>
                <w:szCs w:val="24"/>
                <w:lang w:val="en-US"/>
              </w:rPr>
              <w:t xml:space="preserve">, </w:t>
            </w:r>
            <w:r w:rsidRPr="00883D30">
              <w:rPr>
                <w:sz w:val="24"/>
                <w:szCs w:val="24"/>
                <w:lang w:val="en-US"/>
              </w:rPr>
              <w:t xml:space="preserve">bladder dysfunction, other bladder lesions </w:t>
            </w:r>
            <w:r w:rsidR="005B75AB" w:rsidRPr="00883D30">
              <w:rPr>
                <w:sz w:val="24"/>
                <w:szCs w:val="24"/>
                <w:lang w:val="en-US"/>
              </w:rPr>
              <w:t>(N30</w:t>
            </w:r>
            <w:r w:rsidR="0008038F" w:rsidRPr="00883D30">
              <w:rPr>
                <w:sz w:val="24"/>
                <w:szCs w:val="24"/>
                <w:lang w:val="en-US"/>
              </w:rPr>
              <w:t>–</w:t>
            </w:r>
            <w:r w:rsidR="005B75AB" w:rsidRPr="00883D30">
              <w:rPr>
                <w:sz w:val="24"/>
                <w:szCs w:val="24"/>
                <w:lang w:val="en-US"/>
              </w:rPr>
              <w:t>33)</w:t>
            </w:r>
          </w:p>
        </w:tc>
        <w:tc>
          <w:tcPr>
            <w:tcW w:w="1298" w:type="dxa"/>
            <w:shd w:val="clear" w:color="auto" w:fill="auto"/>
          </w:tcPr>
          <w:p w14:paraId="0DBE581D" w14:textId="657732EE" w:rsidR="005B75AB" w:rsidRPr="002662AC" w:rsidRDefault="005B75AB" w:rsidP="005748FB">
            <w:pPr>
              <w:pStyle w:val="a3"/>
              <w:spacing w:line="360" w:lineRule="auto"/>
              <w:jc w:val="both"/>
              <w:rPr>
                <w:sz w:val="24"/>
                <w:szCs w:val="24"/>
              </w:rPr>
            </w:pPr>
            <w:r w:rsidRPr="002662AC">
              <w:rPr>
                <w:sz w:val="24"/>
                <w:szCs w:val="24"/>
              </w:rPr>
              <w:t>4,4%</w:t>
            </w:r>
          </w:p>
          <w:p w14:paraId="5A46FEC4" w14:textId="77777777" w:rsidR="005B75AB" w:rsidRPr="002662AC" w:rsidRDefault="005B75AB" w:rsidP="005748FB">
            <w:pPr>
              <w:pStyle w:val="a3"/>
              <w:spacing w:line="360" w:lineRule="auto"/>
              <w:jc w:val="both"/>
              <w:rPr>
                <w:sz w:val="24"/>
                <w:szCs w:val="24"/>
              </w:rPr>
            </w:pPr>
            <w:r w:rsidRPr="002662AC">
              <w:rPr>
                <w:sz w:val="24"/>
                <w:szCs w:val="24"/>
              </w:rPr>
              <w:t>(5)</w:t>
            </w:r>
          </w:p>
        </w:tc>
      </w:tr>
    </w:tbl>
    <w:p w14:paraId="759A286D" w14:textId="77777777" w:rsidR="009F5835" w:rsidRDefault="009F5835" w:rsidP="005748FB">
      <w:pPr>
        <w:pStyle w:val="a3"/>
        <w:spacing w:line="360" w:lineRule="auto"/>
        <w:jc w:val="both"/>
        <w:rPr>
          <w:sz w:val="24"/>
          <w:szCs w:val="24"/>
          <w:lang w:val="en-US"/>
        </w:rPr>
      </w:pPr>
    </w:p>
    <w:p w14:paraId="1C0C25F2" w14:textId="77777777" w:rsidR="00E01965" w:rsidRPr="000B2B6A" w:rsidRDefault="00E01965" w:rsidP="005748FB">
      <w:pPr>
        <w:pStyle w:val="a3"/>
        <w:spacing w:line="360" w:lineRule="auto"/>
        <w:jc w:val="both"/>
        <w:rPr>
          <w:b/>
          <w:color w:val="365F91"/>
          <w:sz w:val="24"/>
          <w:szCs w:val="24"/>
        </w:rPr>
      </w:pPr>
    </w:p>
    <w:p w14:paraId="091F63E6" w14:textId="7A0FA6E2" w:rsidR="00114D1E" w:rsidRPr="000B2B6A" w:rsidRDefault="00D32E8D" w:rsidP="005748FB">
      <w:pPr>
        <w:pStyle w:val="a3"/>
        <w:spacing w:line="360" w:lineRule="auto"/>
        <w:jc w:val="both"/>
        <w:rPr>
          <w:b/>
          <w:sz w:val="24"/>
          <w:szCs w:val="24"/>
        </w:rPr>
      </w:pPr>
      <w:r w:rsidRPr="008A0079">
        <w:rPr>
          <w:b/>
          <w:sz w:val="24"/>
          <w:szCs w:val="24"/>
        </w:rPr>
        <w:t>FINANCING SOURCE</w:t>
      </w:r>
    </w:p>
    <w:p w14:paraId="14482AF3" w14:textId="13BA2670" w:rsidR="00114D1E" w:rsidRPr="002662AC" w:rsidRDefault="00D32E8D" w:rsidP="005748FB">
      <w:pPr>
        <w:pStyle w:val="a3"/>
        <w:spacing w:line="360" w:lineRule="auto"/>
        <w:jc w:val="both"/>
        <w:rPr>
          <w:sz w:val="24"/>
          <w:szCs w:val="24"/>
          <w:shd w:val="clear" w:color="auto" w:fill="FFFFFF"/>
        </w:rPr>
      </w:pPr>
      <w:r w:rsidRPr="00D32E8D">
        <w:rPr>
          <w:sz w:val="24"/>
          <w:szCs w:val="24"/>
          <w:shd w:val="clear" w:color="auto" w:fill="FFFFFF"/>
        </w:rPr>
        <w:t>Not specified</w:t>
      </w:r>
      <w:r w:rsidR="00114D1E" w:rsidRPr="002662AC">
        <w:rPr>
          <w:sz w:val="24"/>
          <w:szCs w:val="24"/>
          <w:shd w:val="clear" w:color="auto" w:fill="FFFFFF"/>
        </w:rPr>
        <w:t>.</w:t>
      </w:r>
    </w:p>
    <w:p w14:paraId="2FA46F31" w14:textId="77777777" w:rsidR="00114D1E" w:rsidRDefault="00114D1E" w:rsidP="005748FB">
      <w:pPr>
        <w:pStyle w:val="a3"/>
        <w:spacing w:line="360" w:lineRule="auto"/>
        <w:jc w:val="both"/>
        <w:rPr>
          <w:sz w:val="24"/>
          <w:szCs w:val="24"/>
        </w:rPr>
      </w:pPr>
    </w:p>
    <w:p w14:paraId="52DAC919" w14:textId="77777777" w:rsidR="006C5C29" w:rsidRPr="002662AC" w:rsidRDefault="006C5C29" w:rsidP="005748FB">
      <w:pPr>
        <w:pStyle w:val="a3"/>
        <w:spacing w:line="360" w:lineRule="auto"/>
        <w:jc w:val="both"/>
        <w:rPr>
          <w:sz w:val="24"/>
          <w:szCs w:val="24"/>
        </w:rPr>
      </w:pPr>
    </w:p>
    <w:p w14:paraId="524A6625" w14:textId="263A04A8" w:rsidR="00114D1E" w:rsidRPr="000B2B6A" w:rsidRDefault="00D32E8D" w:rsidP="005748FB">
      <w:pPr>
        <w:pStyle w:val="a3"/>
        <w:spacing w:line="360" w:lineRule="auto"/>
        <w:jc w:val="both"/>
        <w:rPr>
          <w:b/>
          <w:sz w:val="24"/>
          <w:szCs w:val="24"/>
        </w:rPr>
      </w:pPr>
      <w:r w:rsidRPr="008A0079">
        <w:rPr>
          <w:b/>
          <w:sz w:val="24"/>
          <w:szCs w:val="24"/>
        </w:rPr>
        <w:t>DISCLOSURE</w:t>
      </w:r>
      <w:r w:rsidRPr="00113427">
        <w:rPr>
          <w:b/>
          <w:sz w:val="24"/>
          <w:szCs w:val="24"/>
          <w:lang w:val="en-US"/>
        </w:rPr>
        <w:t xml:space="preserve"> </w:t>
      </w:r>
      <w:r w:rsidRPr="008A0079">
        <w:rPr>
          <w:b/>
          <w:sz w:val="24"/>
          <w:szCs w:val="24"/>
        </w:rPr>
        <w:t>OF</w:t>
      </w:r>
      <w:r w:rsidRPr="00113427">
        <w:rPr>
          <w:b/>
          <w:sz w:val="24"/>
          <w:szCs w:val="24"/>
          <w:lang w:val="en-US"/>
        </w:rPr>
        <w:t xml:space="preserve"> </w:t>
      </w:r>
      <w:r w:rsidRPr="008A0079">
        <w:rPr>
          <w:b/>
          <w:sz w:val="24"/>
          <w:szCs w:val="24"/>
        </w:rPr>
        <w:t>INTERESTS</w:t>
      </w:r>
    </w:p>
    <w:p w14:paraId="0B3D6DE4" w14:textId="4C243FD1" w:rsidR="00114D1E" w:rsidRPr="002662AC" w:rsidRDefault="00D32E8D" w:rsidP="005748FB">
      <w:pPr>
        <w:pStyle w:val="a3"/>
        <w:spacing w:line="360" w:lineRule="auto"/>
        <w:jc w:val="both"/>
        <w:rPr>
          <w:sz w:val="24"/>
          <w:szCs w:val="24"/>
          <w:shd w:val="clear" w:color="auto" w:fill="FFFFFF"/>
        </w:rPr>
      </w:pPr>
      <w:r w:rsidRPr="002D1D56">
        <w:rPr>
          <w:bCs/>
          <w:color w:val="000000"/>
          <w:sz w:val="24"/>
          <w:szCs w:val="24"/>
          <w:lang w:val="en-US"/>
        </w:rPr>
        <w:t>Not declare</w:t>
      </w:r>
      <w:r>
        <w:rPr>
          <w:bCs/>
          <w:color w:val="000000"/>
          <w:sz w:val="24"/>
          <w:szCs w:val="24"/>
          <w:lang w:val="en-US"/>
        </w:rPr>
        <w:t>d</w:t>
      </w:r>
      <w:r w:rsidR="00114D1E" w:rsidRPr="002662AC">
        <w:rPr>
          <w:sz w:val="24"/>
          <w:szCs w:val="24"/>
        </w:rPr>
        <w:t>.</w:t>
      </w:r>
    </w:p>
    <w:p w14:paraId="4EAD6C24" w14:textId="77777777" w:rsidR="00114D1E" w:rsidRPr="002662AC" w:rsidRDefault="00114D1E" w:rsidP="005748FB">
      <w:pPr>
        <w:pStyle w:val="a3"/>
        <w:spacing w:line="360" w:lineRule="auto"/>
        <w:jc w:val="both"/>
        <w:rPr>
          <w:sz w:val="24"/>
          <w:szCs w:val="24"/>
          <w:shd w:val="clear" w:color="auto" w:fill="FFFFFF"/>
        </w:rPr>
      </w:pPr>
    </w:p>
    <w:p w14:paraId="42DC65D7" w14:textId="77777777" w:rsidR="003C27C0" w:rsidRPr="002662AC" w:rsidRDefault="003C27C0" w:rsidP="005748FB">
      <w:pPr>
        <w:pStyle w:val="a3"/>
        <w:spacing w:line="360" w:lineRule="auto"/>
        <w:jc w:val="both"/>
        <w:rPr>
          <w:sz w:val="24"/>
        </w:rPr>
      </w:pPr>
    </w:p>
    <w:sectPr w:rsidR="003C27C0" w:rsidRPr="002662AC" w:rsidSect="00AA0F5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BF1192" w14:textId="77777777" w:rsidR="005D71AE" w:rsidRDefault="005D71AE" w:rsidP="00602037">
      <w:pPr>
        <w:spacing w:line="240" w:lineRule="auto"/>
      </w:pPr>
      <w:r>
        <w:separator/>
      </w:r>
    </w:p>
  </w:endnote>
  <w:endnote w:type="continuationSeparator" w:id="0">
    <w:p w14:paraId="651B44E4" w14:textId="77777777" w:rsidR="005D71AE" w:rsidRDefault="005D71AE" w:rsidP="006020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4CF0E0" w14:textId="77777777" w:rsidR="005D71AE" w:rsidRDefault="005D71AE" w:rsidP="00602037">
      <w:pPr>
        <w:spacing w:line="240" w:lineRule="auto"/>
      </w:pPr>
      <w:r>
        <w:separator/>
      </w:r>
    </w:p>
  </w:footnote>
  <w:footnote w:type="continuationSeparator" w:id="0">
    <w:p w14:paraId="34A2D0B0" w14:textId="77777777" w:rsidR="005D71AE" w:rsidRDefault="005D71AE" w:rsidP="0060203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E65C0"/>
    <w:multiLevelType w:val="multilevel"/>
    <w:tmpl w:val="96D02A90"/>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139A2C97"/>
    <w:multiLevelType w:val="hybridMultilevel"/>
    <w:tmpl w:val="B40E1698"/>
    <w:lvl w:ilvl="0" w:tplc="D6EEFDC2">
      <w:start w:val="1"/>
      <w:numFmt w:val="bullet"/>
      <w:lvlText w:val=""/>
      <w:lvlJc w:val="left"/>
      <w:pPr>
        <w:ind w:left="1146" w:hanging="360"/>
      </w:pPr>
      <w:rPr>
        <w:rFonts w:ascii="Symbol" w:hAnsi="Symbol" w:hint="default"/>
        <w:b w:val="0"/>
        <w:bCs w:val="0"/>
        <w:i w:val="0"/>
        <w:iCs w:val="0"/>
        <w:caps w:val="0"/>
        <w:strike w:val="0"/>
        <w:dstrike w:val="0"/>
        <w:vanish w:val="0"/>
        <w:color w:val="231F20"/>
        <w:spacing w:val="0"/>
        <w:w w:val="100"/>
        <w:sz w:val="24"/>
        <w:szCs w:val="22"/>
        <w:vertAlign w:val="baseline"/>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15:restartNumberingAfterBreak="0">
    <w:nsid w:val="1BE54AF4"/>
    <w:multiLevelType w:val="hybridMultilevel"/>
    <w:tmpl w:val="498252DE"/>
    <w:lvl w:ilvl="0" w:tplc="0419000F">
      <w:start w:val="1"/>
      <w:numFmt w:val="decimal"/>
      <w:lvlText w:val="%1."/>
      <w:lvlJc w:val="left"/>
      <w:pPr>
        <w:ind w:left="1146" w:hanging="360"/>
      </w:p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 w15:restartNumberingAfterBreak="0">
    <w:nsid w:val="1CE121C9"/>
    <w:multiLevelType w:val="multilevel"/>
    <w:tmpl w:val="9580F1CA"/>
    <w:lvl w:ilvl="0">
      <w:start w:val="5"/>
      <w:numFmt w:val="decimal"/>
      <w:lvlText w:val="%1."/>
      <w:lvlJc w:val="left"/>
      <w:pPr>
        <w:ind w:left="360" w:hanging="360"/>
      </w:pPr>
      <w:rPr>
        <w:rFonts w:hint="default"/>
        <w:b/>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4" w15:restartNumberingAfterBreak="0">
    <w:nsid w:val="3B591867"/>
    <w:multiLevelType w:val="hybridMultilevel"/>
    <w:tmpl w:val="055CF7EE"/>
    <w:lvl w:ilvl="0" w:tplc="144638E4">
      <w:start w:val="1"/>
      <w:numFmt w:val="decimal"/>
      <w:lvlText w:val="%1."/>
      <w:lvlJc w:val="left"/>
      <w:pPr>
        <w:ind w:left="720" w:hanging="360"/>
      </w:pPr>
      <w:rPr>
        <w:rFonts w:hint="default"/>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AE04AF5"/>
    <w:multiLevelType w:val="hybridMultilevel"/>
    <w:tmpl w:val="A9CA2C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01222291">
    <w:abstractNumId w:val="2"/>
  </w:num>
  <w:num w:numId="2" w16cid:durableId="1263538017">
    <w:abstractNumId w:val="3"/>
  </w:num>
  <w:num w:numId="3" w16cid:durableId="1170095407">
    <w:abstractNumId w:val="0"/>
  </w:num>
  <w:num w:numId="4" w16cid:durableId="139269323">
    <w:abstractNumId w:val="5"/>
  </w:num>
  <w:num w:numId="5" w16cid:durableId="211618305">
    <w:abstractNumId w:val="4"/>
  </w:num>
  <w:num w:numId="6" w16cid:durableId="9765649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037"/>
    <w:rsid w:val="0005411C"/>
    <w:rsid w:val="000768F1"/>
    <w:rsid w:val="0008038F"/>
    <w:rsid w:val="00095EE1"/>
    <w:rsid w:val="000B2B6A"/>
    <w:rsid w:val="000D64CA"/>
    <w:rsid w:val="000E5030"/>
    <w:rsid w:val="00114D1E"/>
    <w:rsid w:val="00121483"/>
    <w:rsid w:val="0013746E"/>
    <w:rsid w:val="001375D2"/>
    <w:rsid w:val="00151FDC"/>
    <w:rsid w:val="001843EA"/>
    <w:rsid w:val="00190204"/>
    <w:rsid w:val="001C7BF7"/>
    <w:rsid w:val="001D0D53"/>
    <w:rsid w:val="001E6EA4"/>
    <w:rsid w:val="001E7091"/>
    <w:rsid w:val="001E7685"/>
    <w:rsid w:val="001F714D"/>
    <w:rsid w:val="00200F94"/>
    <w:rsid w:val="0021123E"/>
    <w:rsid w:val="00221726"/>
    <w:rsid w:val="002227E0"/>
    <w:rsid w:val="00227C33"/>
    <w:rsid w:val="00243B1F"/>
    <w:rsid w:val="00254303"/>
    <w:rsid w:val="002662AC"/>
    <w:rsid w:val="00270F8D"/>
    <w:rsid w:val="0028735C"/>
    <w:rsid w:val="002900FB"/>
    <w:rsid w:val="002B1452"/>
    <w:rsid w:val="002E6A2B"/>
    <w:rsid w:val="00303C7F"/>
    <w:rsid w:val="00324B12"/>
    <w:rsid w:val="00341EF3"/>
    <w:rsid w:val="0034310C"/>
    <w:rsid w:val="003510B9"/>
    <w:rsid w:val="0035561B"/>
    <w:rsid w:val="00371E7E"/>
    <w:rsid w:val="003C27C0"/>
    <w:rsid w:val="003C722A"/>
    <w:rsid w:val="00424B95"/>
    <w:rsid w:val="00434A6E"/>
    <w:rsid w:val="00436A3E"/>
    <w:rsid w:val="00451939"/>
    <w:rsid w:val="00470C10"/>
    <w:rsid w:val="0047702E"/>
    <w:rsid w:val="00496F66"/>
    <w:rsid w:val="004D7ED9"/>
    <w:rsid w:val="0052136A"/>
    <w:rsid w:val="005379F2"/>
    <w:rsid w:val="00540CD2"/>
    <w:rsid w:val="00542F63"/>
    <w:rsid w:val="00543044"/>
    <w:rsid w:val="00550C2F"/>
    <w:rsid w:val="005748FB"/>
    <w:rsid w:val="00581BC5"/>
    <w:rsid w:val="005B75AB"/>
    <w:rsid w:val="005D71AE"/>
    <w:rsid w:val="005F28C3"/>
    <w:rsid w:val="00602037"/>
    <w:rsid w:val="00646680"/>
    <w:rsid w:val="006655EC"/>
    <w:rsid w:val="00691D06"/>
    <w:rsid w:val="006A6C30"/>
    <w:rsid w:val="006B73FA"/>
    <w:rsid w:val="006C5C29"/>
    <w:rsid w:val="006E1E15"/>
    <w:rsid w:val="006F3E3E"/>
    <w:rsid w:val="006F583B"/>
    <w:rsid w:val="00720929"/>
    <w:rsid w:val="00725431"/>
    <w:rsid w:val="0077578A"/>
    <w:rsid w:val="00781C88"/>
    <w:rsid w:val="007A5C5A"/>
    <w:rsid w:val="007B2560"/>
    <w:rsid w:val="00833846"/>
    <w:rsid w:val="00857657"/>
    <w:rsid w:val="00862F9E"/>
    <w:rsid w:val="00883D30"/>
    <w:rsid w:val="00895E1B"/>
    <w:rsid w:val="00896FA2"/>
    <w:rsid w:val="008975B0"/>
    <w:rsid w:val="008A5152"/>
    <w:rsid w:val="008A60C8"/>
    <w:rsid w:val="008C0EAC"/>
    <w:rsid w:val="008C74B8"/>
    <w:rsid w:val="008D4F57"/>
    <w:rsid w:val="009059EA"/>
    <w:rsid w:val="00907722"/>
    <w:rsid w:val="00925B01"/>
    <w:rsid w:val="009266F2"/>
    <w:rsid w:val="0093074E"/>
    <w:rsid w:val="00942FA5"/>
    <w:rsid w:val="009679CC"/>
    <w:rsid w:val="0098597C"/>
    <w:rsid w:val="009967E2"/>
    <w:rsid w:val="009F5835"/>
    <w:rsid w:val="00A04A38"/>
    <w:rsid w:val="00A13D91"/>
    <w:rsid w:val="00A14487"/>
    <w:rsid w:val="00A32AC3"/>
    <w:rsid w:val="00A32BC9"/>
    <w:rsid w:val="00A9069F"/>
    <w:rsid w:val="00A94197"/>
    <w:rsid w:val="00A96B51"/>
    <w:rsid w:val="00AA0F53"/>
    <w:rsid w:val="00AA6E21"/>
    <w:rsid w:val="00AB472B"/>
    <w:rsid w:val="00AC191D"/>
    <w:rsid w:val="00AD4975"/>
    <w:rsid w:val="00B12A9C"/>
    <w:rsid w:val="00B32640"/>
    <w:rsid w:val="00B411A0"/>
    <w:rsid w:val="00B860AD"/>
    <w:rsid w:val="00BE40DC"/>
    <w:rsid w:val="00C11590"/>
    <w:rsid w:val="00C27B3E"/>
    <w:rsid w:val="00C53D0C"/>
    <w:rsid w:val="00C55ABE"/>
    <w:rsid w:val="00C61B26"/>
    <w:rsid w:val="00C74042"/>
    <w:rsid w:val="00C9322D"/>
    <w:rsid w:val="00CB57B6"/>
    <w:rsid w:val="00CB6354"/>
    <w:rsid w:val="00CD0F41"/>
    <w:rsid w:val="00CE30BD"/>
    <w:rsid w:val="00CF6661"/>
    <w:rsid w:val="00D0536A"/>
    <w:rsid w:val="00D32E8D"/>
    <w:rsid w:val="00D54A65"/>
    <w:rsid w:val="00D575BC"/>
    <w:rsid w:val="00D740C7"/>
    <w:rsid w:val="00D8006D"/>
    <w:rsid w:val="00D85DDE"/>
    <w:rsid w:val="00DA228D"/>
    <w:rsid w:val="00DD5C58"/>
    <w:rsid w:val="00DF1E32"/>
    <w:rsid w:val="00E01965"/>
    <w:rsid w:val="00E3643A"/>
    <w:rsid w:val="00E54147"/>
    <w:rsid w:val="00E9708F"/>
    <w:rsid w:val="00EA4256"/>
    <w:rsid w:val="00EF4E0F"/>
    <w:rsid w:val="00F01ECD"/>
    <w:rsid w:val="00F03FE1"/>
    <w:rsid w:val="00F14437"/>
    <w:rsid w:val="00F40B7D"/>
    <w:rsid w:val="00F4274F"/>
    <w:rsid w:val="00F4494C"/>
    <w:rsid w:val="00F662B6"/>
    <w:rsid w:val="00F84C82"/>
    <w:rsid w:val="00F92181"/>
    <w:rsid w:val="00FA1CC3"/>
    <w:rsid w:val="00FB44BE"/>
    <w:rsid w:val="00FC46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2EF89"/>
  <w15:docId w15:val="{755771A3-A2FC-4354-B4DE-F59738947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2037"/>
    <w:pPr>
      <w:suppressAutoHyphens/>
      <w:spacing w:after="0" w:line="240" w:lineRule="exact"/>
      <w:ind w:left="113" w:right="113"/>
      <w:jc w:val="both"/>
    </w:pPr>
    <w:rPr>
      <w:rFonts w:ascii="Times New Roman" w:eastAsia="Times New Roman" w:hAnsi="Times New Roman" w:cs="Times New Roman"/>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02037"/>
    <w:pPr>
      <w:spacing w:after="0" w:line="240" w:lineRule="auto"/>
    </w:pPr>
    <w:rPr>
      <w:rFonts w:ascii="Times New Roman" w:eastAsia="Times New Roman" w:hAnsi="Times New Roman" w:cs="Times New Roman"/>
      <w:sz w:val="28"/>
      <w:szCs w:val="28"/>
      <w:lang w:eastAsia="ru-RU"/>
    </w:rPr>
  </w:style>
  <w:style w:type="character" w:styleId="a4">
    <w:name w:val="Strong"/>
    <w:uiPriority w:val="22"/>
    <w:qFormat/>
    <w:rsid w:val="00602037"/>
    <w:rPr>
      <w:b/>
      <w:bCs/>
    </w:rPr>
  </w:style>
  <w:style w:type="paragraph" w:styleId="a5">
    <w:name w:val="Body Text"/>
    <w:basedOn w:val="a"/>
    <w:link w:val="1"/>
    <w:uiPriority w:val="99"/>
    <w:rsid w:val="00602037"/>
    <w:pPr>
      <w:spacing w:after="120" w:line="240" w:lineRule="auto"/>
      <w:ind w:left="0" w:right="0"/>
      <w:jc w:val="left"/>
    </w:pPr>
    <w:rPr>
      <w:rFonts w:eastAsia="Calibri"/>
      <w:sz w:val="24"/>
      <w:szCs w:val="22"/>
    </w:rPr>
  </w:style>
  <w:style w:type="character" w:customStyle="1" w:styleId="a6">
    <w:name w:val="Основной текст Знак"/>
    <w:basedOn w:val="a0"/>
    <w:uiPriority w:val="99"/>
    <w:semiHidden/>
    <w:rsid w:val="00602037"/>
    <w:rPr>
      <w:rFonts w:ascii="Times New Roman" w:eastAsia="Times New Roman" w:hAnsi="Times New Roman" w:cs="Times New Roman"/>
      <w:szCs w:val="24"/>
      <w:lang w:eastAsia="ar-SA"/>
    </w:rPr>
  </w:style>
  <w:style w:type="character" w:styleId="a7">
    <w:name w:val="Hyperlink"/>
    <w:uiPriority w:val="99"/>
    <w:rsid w:val="00602037"/>
    <w:rPr>
      <w:color w:val="0000FF"/>
      <w:u w:val="single"/>
    </w:rPr>
  </w:style>
  <w:style w:type="character" w:customStyle="1" w:styleId="1">
    <w:name w:val="Основной текст Знак1"/>
    <w:link w:val="a5"/>
    <w:uiPriority w:val="99"/>
    <w:rsid w:val="00602037"/>
    <w:rPr>
      <w:rFonts w:ascii="Times New Roman" w:eastAsia="Calibri" w:hAnsi="Times New Roman" w:cs="Times New Roman"/>
      <w:sz w:val="24"/>
      <w:lang w:eastAsia="ar-SA"/>
    </w:rPr>
  </w:style>
  <w:style w:type="paragraph" w:styleId="a8">
    <w:name w:val="footnote text"/>
    <w:basedOn w:val="a"/>
    <w:link w:val="a9"/>
    <w:uiPriority w:val="99"/>
    <w:rsid w:val="00602037"/>
    <w:pPr>
      <w:spacing w:line="240" w:lineRule="auto"/>
      <w:ind w:left="0" w:right="0"/>
      <w:jc w:val="left"/>
    </w:pPr>
    <w:rPr>
      <w:rFonts w:ascii="Calibri" w:hAnsi="Calibri"/>
      <w:sz w:val="20"/>
      <w:szCs w:val="20"/>
    </w:rPr>
  </w:style>
  <w:style w:type="character" w:customStyle="1" w:styleId="a9">
    <w:name w:val="Текст сноски Знак"/>
    <w:basedOn w:val="a0"/>
    <w:link w:val="a8"/>
    <w:uiPriority w:val="99"/>
    <w:rsid w:val="00602037"/>
    <w:rPr>
      <w:rFonts w:ascii="Calibri" w:eastAsia="Times New Roman" w:hAnsi="Calibri" w:cs="Times New Roman"/>
      <w:sz w:val="20"/>
      <w:szCs w:val="20"/>
      <w:lang w:eastAsia="ar-SA"/>
    </w:rPr>
  </w:style>
  <w:style w:type="character" w:styleId="aa">
    <w:name w:val="footnote reference"/>
    <w:uiPriority w:val="99"/>
    <w:unhideWhenUsed/>
    <w:rsid w:val="00602037"/>
    <w:rPr>
      <w:vertAlign w:val="superscript"/>
    </w:rPr>
  </w:style>
  <w:style w:type="paragraph" w:styleId="ab">
    <w:name w:val="Balloon Text"/>
    <w:basedOn w:val="a"/>
    <w:link w:val="ac"/>
    <w:uiPriority w:val="99"/>
    <w:semiHidden/>
    <w:unhideWhenUsed/>
    <w:rsid w:val="005B75AB"/>
    <w:pPr>
      <w:spacing w:line="240" w:lineRule="auto"/>
    </w:pPr>
    <w:rPr>
      <w:rFonts w:ascii="Tahoma" w:hAnsi="Tahoma" w:cs="Tahoma"/>
      <w:sz w:val="16"/>
      <w:szCs w:val="16"/>
    </w:rPr>
  </w:style>
  <w:style w:type="character" w:customStyle="1" w:styleId="ac">
    <w:name w:val="Текст выноски Знак"/>
    <w:basedOn w:val="a0"/>
    <w:link w:val="ab"/>
    <w:uiPriority w:val="99"/>
    <w:semiHidden/>
    <w:rsid w:val="005B75AB"/>
    <w:rPr>
      <w:rFonts w:ascii="Tahoma" w:eastAsia="Times New Roman" w:hAnsi="Tahoma" w:cs="Tahoma"/>
      <w:sz w:val="16"/>
      <w:szCs w:val="16"/>
      <w:lang w:eastAsia="ar-SA"/>
    </w:rPr>
  </w:style>
  <w:style w:type="paragraph" w:styleId="HTML">
    <w:name w:val="HTML Preformatted"/>
    <w:basedOn w:val="a"/>
    <w:link w:val="HTML0"/>
    <w:uiPriority w:val="99"/>
    <w:rsid w:val="00114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0"/>
      <w:jc w:val="left"/>
    </w:pPr>
    <w:rPr>
      <w:rFonts w:ascii="Courier New" w:hAnsi="Courier New" w:cs="Courier New"/>
      <w:sz w:val="20"/>
      <w:szCs w:val="20"/>
    </w:rPr>
  </w:style>
  <w:style w:type="character" w:customStyle="1" w:styleId="HTML0">
    <w:name w:val="Стандартный HTML Знак"/>
    <w:basedOn w:val="a0"/>
    <w:link w:val="HTML"/>
    <w:uiPriority w:val="99"/>
    <w:rsid w:val="00114D1E"/>
    <w:rPr>
      <w:rFonts w:ascii="Courier New" w:eastAsia="Times New Roman" w:hAnsi="Courier New" w:cs="Courier New"/>
      <w:sz w:val="20"/>
      <w:szCs w:val="20"/>
      <w:lang w:eastAsia="ar-SA"/>
    </w:rPr>
  </w:style>
  <w:style w:type="paragraph" w:styleId="ad">
    <w:name w:val="List Paragraph"/>
    <w:basedOn w:val="a"/>
    <w:link w:val="ae"/>
    <w:uiPriority w:val="34"/>
    <w:qFormat/>
    <w:rsid w:val="00114D1E"/>
    <w:pPr>
      <w:suppressAutoHyphens w:val="0"/>
      <w:spacing w:after="200" w:line="276" w:lineRule="auto"/>
      <w:ind w:left="720" w:right="0"/>
      <w:contextualSpacing/>
      <w:jc w:val="left"/>
    </w:pPr>
    <w:rPr>
      <w:rFonts w:ascii="Calibri" w:eastAsia="Calibri" w:hAnsi="Calibri"/>
      <w:szCs w:val="22"/>
      <w:lang w:eastAsia="en-US"/>
    </w:rPr>
  </w:style>
  <w:style w:type="character" w:customStyle="1" w:styleId="ae">
    <w:name w:val="Абзац списка Знак"/>
    <w:link w:val="ad"/>
    <w:locked/>
    <w:rsid w:val="00114D1E"/>
    <w:rPr>
      <w:rFonts w:ascii="Calibri" w:eastAsia="Calibri" w:hAnsi="Calibri" w:cs="Times New Roman"/>
    </w:rPr>
  </w:style>
  <w:style w:type="character" w:customStyle="1" w:styleId="y2iqfc">
    <w:name w:val="y2iqfc"/>
    <w:basedOn w:val="a0"/>
    <w:rsid w:val="00114D1E"/>
  </w:style>
  <w:style w:type="character" w:styleId="af">
    <w:name w:val="annotation reference"/>
    <w:basedOn w:val="a0"/>
    <w:uiPriority w:val="99"/>
    <w:semiHidden/>
    <w:unhideWhenUsed/>
    <w:rsid w:val="00AC191D"/>
    <w:rPr>
      <w:sz w:val="16"/>
      <w:szCs w:val="16"/>
    </w:rPr>
  </w:style>
  <w:style w:type="paragraph" w:styleId="af0">
    <w:name w:val="annotation text"/>
    <w:basedOn w:val="a"/>
    <w:link w:val="af1"/>
    <w:uiPriority w:val="99"/>
    <w:unhideWhenUsed/>
    <w:rsid w:val="00AC191D"/>
    <w:pPr>
      <w:spacing w:line="240" w:lineRule="auto"/>
    </w:pPr>
    <w:rPr>
      <w:sz w:val="20"/>
      <w:szCs w:val="20"/>
    </w:rPr>
  </w:style>
  <w:style w:type="character" w:customStyle="1" w:styleId="af1">
    <w:name w:val="Текст примечания Знак"/>
    <w:basedOn w:val="a0"/>
    <w:link w:val="af0"/>
    <w:uiPriority w:val="99"/>
    <w:rsid w:val="00AC191D"/>
    <w:rPr>
      <w:rFonts w:ascii="Times New Roman" w:eastAsia="Times New Roman" w:hAnsi="Times New Roman" w:cs="Times New Roman"/>
      <w:sz w:val="20"/>
      <w:szCs w:val="20"/>
      <w:lang w:eastAsia="ar-SA"/>
    </w:rPr>
  </w:style>
  <w:style w:type="paragraph" w:styleId="af2">
    <w:name w:val="annotation subject"/>
    <w:basedOn w:val="af0"/>
    <w:next w:val="af0"/>
    <w:link w:val="af3"/>
    <w:uiPriority w:val="99"/>
    <w:semiHidden/>
    <w:unhideWhenUsed/>
    <w:rsid w:val="00AC191D"/>
    <w:rPr>
      <w:b/>
      <w:bCs/>
    </w:rPr>
  </w:style>
  <w:style w:type="character" w:customStyle="1" w:styleId="af3">
    <w:name w:val="Тема примечания Знак"/>
    <w:basedOn w:val="af1"/>
    <w:link w:val="af2"/>
    <w:uiPriority w:val="99"/>
    <w:semiHidden/>
    <w:rsid w:val="00AC191D"/>
    <w:rPr>
      <w:rFonts w:ascii="Times New Roman" w:eastAsia="Times New Roman" w:hAnsi="Times New Roman" w:cs="Times New Roman"/>
      <w:b/>
      <w:bCs/>
      <w:sz w:val="20"/>
      <w:szCs w:val="20"/>
      <w:lang w:eastAsia="ar-SA"/>
    </w:rPr>
  </w:style>
  <w:style w:type="paragraph" w:styleId="af4">
    <w:name w:val="Revision"/>
    <w:hidden/>
    <w:uiPriority w:val="99"/>
    <w:semiHidden/>
    <w:rsid w:val="00A04A38"/>
    <w:pPr>
      <w:spacing w:after="0" w:line="240" w:lineRule="auto"/>
    </w:pPr>
    <w:rPr>
      <w:rFonts w:ascii="Times New Roman" w:eastAsia="Times New Roman" w:hAnsi="Times New Roman" w:cs="Times New Roman"/>
      <w:szCs w:val="24"/>
      <w:lang w:eastAsia="ar-SA"/>
    </w:rPr>
  </w:style>
  <w:style w:type="character" w:customStyle="1" w:styleId="10">
    <w:name w:val="Неразрешенное упоминание1"/>
    <w:basedOn w:val="a0"/>
    <w:uiPriority w:val="99"/>
    <w:semiHidden/>
    <w:unhideWhenUsed/>
    <w:rsid w:val="00341EF3"/>
    <w:rPr>
      <w:color w:val="605E5C"/>
      <w:shd w:val="clear" w:color="auto" w:fill="E1DFDD"/>
    </w:rPr>
  </w:style>
  <w:style w:type="table" w:styleId="af5">
    <w:name w:val="Table Grid"/>
    <w:basedOn w:val="a1"/>
    <w:uiPriority w:val="59"/>
    <w:rsid w:val="00227C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264891">
      <w:bodyDiv w:val="1"/>
      <w:marLeft w:val="0"/>
      <w:marRight w:val="0"/>
      <w:marTop w:val="0"/>
      <w:marBottom w:val="0"/>
      <w:divBdr>
        <w:top w:val="none" w:sz="0" w:space="0" w:color="auto"/>
        <w:left w:val="none" w:sz="0" w:space="0" w:color="auto"/>
        <w:bottom w:val="none" w:sz="0" w:space="0" w:color="auto"/>
        <w:right w:val="none" w:sz="0" w:space="0" w:color="auto"/>
      </w:divBdr>
    </w:div>
    <w:div w:id="422071980">
      <w:bodyDiv w:val="1"/>
      <w:marLeft w:val="0"/>
      <w:marRight w:val="0"/>
      <w:marTop w:val="0"/>
      <w:marBottom w:val="0"/>
      <w:divBdr>
        <w:top w:val="none" w:sz="0" w:space="0" w:color="auto"/>
        <w:left w:val="none" w:sz="0" w:space="0" w:color="auto"/>
        <w:bottom w:val="none" w:sz="0" w:space="0" w:color="auto"/>
        <w:right w:val="none" w:sz="0" w:space="0" w:color="auto"/>
      </w:divBdr>
    </w:div>
    <w:div w:id="453868067">
      <w:bodyDiv w:val="1"/>
      <w:marLeft w:val="0"/>
      <w:marRight w:val="0"/>
      <w:marTop w:val="0"/>
      <w:marBottom w:val="0"/>
      <w:divBdr>
        <w:top w:val="none" w:sz="0" w:space="0" w:color="auto"/>
        <w:left w:val="none" w:sz="0" w:space="0" w:color="auto"/>
        <w:bottom w:val="none" w:sz="0" w:space="0" w:color="auto"/>
        <w:right w:val="none" w:sz="0" w:space="0" w:color="auto"/>
      </w:divBdr>
    </w:div>
    <w:div w:id="993487894">
      <w:bodyDiv w:val="1"/>
      <w:marLeft w:val="0"/>
      <w:marRight w:val="0"/>
      <w:marTop w:val="0"/>
      <w:marBottom w:val="0"/>
      <w:divBdr>
        <w:top w:val="none" w:sz="0" w:space="0" w:color="auto"/>
        <w:left w:val="none" w:sz="0" w:space="0" w:color="auto"/>
        <w:bottom w:val="none" w:sz="0" w:space="0" w:color="auto"/>
        <w:right w:val="none" w:sz="0" w:space="0" w:color="auto"/>
      </w:divBdr>
    </w:div>
    <w:div w:id="1115370452">
      <w:bodyDiv w:val="1"/>
      <w:marLeft w:val="0"/>
      <w:marRight w:val="0"/>
      <w:marTop w:val="0"/>
      <w:marBottom w:val="0"/>
      <w:divBdr>
        <w:top w:val="none" w:sz="0" w:space="0" w:color="auto"/>
        <w:left w:val="none" w:sz="0" w:space="0" w:color="auto"/>
        <w:bottom w:val="none" w:sz="0" w:space="0" w:color="auto"/>
        <w:right w:val="none" w:sz="0" w:space="0" w:color="auto"/>
      </w:divBdr>
    </w:div>
    <w:div w:id="112815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oleObject" Target="file:///D:\Users\&#1040;&#1085;&#1072;&#1090;&#1086;&#1083;&#1080;&#1081;\Documents\&#1057;&#1083;&#1072;&#1081;&#1076;%20&#1044;&#1077;&#1084;&#1086;&#1075;&#1088;&#1072;&#1092;&#1080;&#1103;&#1095;&#1098;%20&#1055;&#1077;&#1088;&#1080;&#1085;&#1072;&#1090;.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1050;&#1085;&#1080;&#1075;&#1072;1"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D:\Users\&#1040;&#1085;&#1072;&#1090;&#1086;&#1083;&#1080;&#1081;\Documents\&#1057;&#1083;&#1072;&#1081;&#1076;&#1057;&#1088;&#1077;&#1076;&#1085;.%20&#1091;&#1088;&#1086;&#1074;&#1077;&#1085;&#1100;%20&#1092;&#1080;&#1079;&#1088;&#1072;&#1079;&#1074;&#1080;&#1090;&#1080;&#1103;.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D:\Users\&#1040;&#1085;&#1072;&#1090;&#1086;&#1083;&#1080;&#1081;\Documents\&#1050;&#1085;&#1080;&#1075;&#1072;1%20&#1079;&#1072;&#1073;&#1086;&#1083;&#1077;&#1074;&#1072;&#1077;&#1084;&#1086;&#1089;&#1090;&#1100;%20&#1088;&#1077;&#1087;&#1088;&#1086;&#1076;%20&#1089;&#1092;&#1077;&#1088;&#1099;.xlsx"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bar"/>
        <c:grouping val="stacked"/>
        <c:varyColors val="0"/>
        <c:ser>
          <c:idx val="0"/>
          <c:order val="0"/>
          <c:tx>
            <c:strRef>
              <c:f>Лист1!$A$2</c:f>
              <c:strCache>
                <c:ptCount val="1"/>
                <c:pt idx="0">
                  <c:v>Невыкашивание/Not mowing</c:v>
                </c:pt>
              </c:strCache>
            </c:strRef>
          </c:tx>
          <c:invertIfNegative val="0"/>
          <c:dLbls>
            <c:spPr>
              <a:noFill/>
              <a:ln>
                <a:noFill/>
              </a:ln>
              <a:effectLst/>
            </c:spPr>
            <c:txPr>
              <a:bodyPr/>
              <a:lstStyle/>
              <a:p>
                <a:pPr>
                  <a:defRPr sz="1200" b="1">
                    <a:solidFill>
                      <a:schemeClr val="bg2"/>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Лист1!$B$1:$G$1</c:f>
              <c:numCache>
                <c:formatCode>General</c:formatCode>
                <c:ptCount val="6"/>
                <c:pt idx="0">
                  <c:v>2018</c:v>
                </c:pt>
                <c:pt idx="1">
                  <c:v>2019</c:v>
                </c:pt>
                <c:pt idx="2">
                  <c:v>2020</c:v>
                </c:pt>
                <c:pt idx="3">
                  <c:v>2021</c:v>
                </c:pt>
                <c:pt idx="4">
                  <c:v>2022</c:v>
                </c:pt>
                <c:pt idx="5">
                  <c:v>2023</c:v>
                </c:pt>
              </c:numCache>
            </c:numRef>
          </c:cat>
          <c:val>
            <c:numRef>
              <c:f>Лист1!$B$2:$G$2</c:f>
              <c:numCache>
                <c:formatCode>General</c:formatCode>
                <c:ptCount val="6"/>
                <c:pt idx="0">
                  <c:v>6</c:v>
                </c:pt>
                <c:pt idx="1">
                  <c:v>6.1</c:v>
                </c:pt>
                <c:pt idx="2">
                  <c:v>5.78</c:v>
                </c:pt>
                <c:pt idx="3">
                  <c:v>5.76</c:v>
                </c:pt>
                <c:pt idx="4">
                  <c:v>5.75</c:v>
                </c:pt>
                <c:pt idx="5">
                  <c:v>5.75</c:v>
                </c:pt>
              </c:numCache>
            </c:numRef>
          </c:val>
          <c:extLst>
            <c:ext xmlns:c16="http://schemas.microsoft.com/office/drawing/2014/chart" uri="{C3380CC4-5D6E-409C-BE32-E72D297353CC}">
              <c16:uniqueId val="{00000000-CA20-4A0A-8AA3-7BE04070FD11}"/>
            </c:ext>
          </c:extLst>
        </c:ser>
        <c:ser>
          <c:idx val="1"/>
          <c:order val="1"/>
          <c:tx>
            <c:strRef>
              <c:f>Лист1!$A$3</c:f>
              <c:strCache>
                <c:ptCount val="1"/>
                <c:pt idx="0">
                  <c:v>Перинат. смертность/Perinatal mortality</c:v>
                </c:pt>
              </c:strCache>
            </c:strRef>
          </c:tx>
          <c:invertIfNegative val="0"/>
          <c:dLbls>
            <c:spPr>
              <a:noFill/>
              <a:ln>
                <a:noFill/>
              </a:ln>
              <a:effectLst/>
            </c:spPr>
            <c:txPr>
              <a:bodyPr/>
              <a:lstStyle/>
              <a:p>
                <a:pPr>
                  <a:defRPr sz="1200" b="1"/>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Лист1!$B$1:$G$1</c:f>
              <c:numCache>
                <c:formatCode>General</c:formatCode>
                <c:ptCount val="6"/>
                <c:pt idx="0">
                  <c:v>2018</c:v>
                </c:pt>
                <c:pt idx="1">
                  <c:v>2019</c:v>
                </c:pt>
                <c:pt idx="2">
                  <c:v>2020</c:v>
                </c:pt>
                <c:pt idx="3">
                  <c:v>2021</c:v>
                </c:pt>
                <c:pt idx="4">
                  <c:v>2022</c:v>
                </c:pt>
                <c:pt idx="5">
                  <c:v>2023</c:v>
                </c:pt>
              </c:numCache>
            </c:numRef>
          </c:cat>
          <c:val>
            <c:numRef>
              <c:f>Лист1!$B$3:$G$3</c:f>
              <c:numCache>
                <c:formatCode>General</c:formatCode>
                <c:ptCount val="6"/>
                <c:pt idx="0">
                  <c:v>6.9</c:v>
                </c:pt>
                <c:pt idx="1">
                  <c:v>7.58</c:v>
                </c:pt>
                <c:pt idx="2">
                  <c:v>7.1099999999999985</c:v>
                </c:pt>
                <c:pt idx="3">
                  <c:v>7.6199999999999966</c:v>
                </c:pt>
                <c:pt idx="4">
                  <c:v>7.13</c:v>
                </c:pt>
                <c:pt idx="5">
                  <c:v>7.35</c:v>
                </c:pt>
              </c:numCache>
            </c:numRef>
          </c:val>
          <c:extLst>
            <c:ext xmlns:c16="http://schemas.microsoft.com/office/drawing/2014/chart" uri="{C3380CC4-5D6E-409C-BE32-E72D297353CC}">
              <c16:uniqueId val="{00000001-CA20-4A0A-8AA3-7BE04070FD11}"/>
            </c:ext>
          </c:extLst>
        </c:ser>
        <c:ser>
          <c:idx val="2"/>
          <c:order val="2"/>
          <c:tx>
            <c:strRef>
              <c:f>Лист1!$A$4</c:f>
              <c:strCache>
                <c:ptCount val="1"/>
                <c:pt idx="0">
                  <c:v>Мертворождаемость/Stillbirth rate</c:v>
                </c:pt>
              </c:strCache>
            </c:strRef>
          </c:tx>
          <c:invertIfNegative val="0"/>
          <c:dLbls>
            <c:spPr>
              <a:noFill/>
              <a:ln>
                <a:noFill/>
              </a:ln>
              <a:effectLst/>
            </c:spPr>
            <c:txPr>
              <a:bodyPr/>
              <a:lstStyle/>
              <a:p>
                <a:pPr>
                  <a:defRPr sz="1200" b="1">
                    <a:solidFill>
                      <a:schemeClr val="bg2"/>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Лист1!$B$1:$G$1</c:f>
              <c:numCache>
                <c:formatCode>General</c:formatCode>
                <c:ptCount val="6"/>
                <c:pt idx="0">
                  <c:v>2018</c:v>
                </c:pt>
                <c:pt idx="1">
                  <c:v>2019</c:v>
                </c:pt>
                <c:pt idx="2">
                  <c:v>2020</c:v>
                </c:pt>
                <c:pt idx="3">
                  <c:v>2021</c:v>
                </c:pt>
                <c:pt idx="4">
                  <c:v>2022</c:v>
                </c:pt>
                <c:pt idx="5">
                  <c:v>2023</c:v>
                </c:pt>
              </c:numCache>
            </c:numRef>
          </c:cat>
          <c:val>
            <c:numRef>
              <c:f>Лист1!$B$4:$G$4</c:f>
              <c:numCache>
                <c:formatCode>General</c:formatCode>
                <c:ptCount val="6"/>
                <c:pt idx="0">
                  <c:v>5.51</c:v>
                </c:pt>
                <c:pt idx="1">
                  <c:v>6.23</c:v>
                </c:pt>
                <c:pt idx="2">
                  <c:v>6.07</c:v>
                </c:pt>
                <c:pt idx="3">
                  <c:v>6.59</c:v>
                </c:pt>
                <c:pt idx="4">
                  <c:v>6.09</c:v>
                </c:pt>
                <c:pt idx="5">
                  <c:v>6.8199999999999985</c:v>
                </c:pt>
              </c:numCache>
            </c:numRef>
          </c:val>
          <c:extLst>
            <c:ext xmlns:c16="http://schemas.microsoft.com/office/drawing/2014/chart" uri="{C3380CC4-5D6E-409C-BE32-E72D297353CC}">
              <c16:uniqueId val="{00000002-CA20-4A0A-8AA3-7BE04070FD11}"/>
            </c:ext>
          </c:extLst>
        </c:ser>
        <c:dLbls>
          <c:showLegendKey val="0"/>
          <c:showVal val="1"/>
          <c:showCatName val="0"/>
          <c:showSerName val="0"/>
          <c:showPercent val="0"/>
          <c:showBubbleSize val="0"/>
        </c:dLbls>
        <c:gapWidth val="95"/>
        <c:gapDepth val="95"/>
        <c:shape val="cylinder"/>
        <c:axId val="162434048"/>
        <c:axId val="171925504"/>
        <c:axId val="0"/>
      </c:bar3DChart>
      <c:catAx>
        <c:axId val="162434048"/>
        <c:scaling>
          <c:orientation val="minMax"/>
        </c:scaling>
        <c:delete val="0"/>
        <c:axPos val="l"/>
        <c:numFmt formatCode="General" sourceLinked="1"/>
        <c:majorTickMark val="none"/>
        <c:minorTickMark val="none"/>
        <c:tickLblPos val="nextTo"/>
        <c:txPr>
          <a:bodyPr/>
          <a:lstStyle/>
          <a:p>
            <a:pPr>
              <a:defRPr sz="1200" b="1"/>
            </a:pPr>
            <a:endParaRPr lang="ru-RU"/>
          </a:p>
        </c:txPr>
        <c:crossAx val="171925504"/>
        <c:crosses val="autoZero"/>
        <c:auto val="1"/>
        <c:lblAlgn val="ctr"/>
        <c:lblOffset val="100"/>
        <c:noMultiLvlLbl val="0"/>
      </c:catAx>
      <c:valAx>
        <c:axId val="171925504"/>
        <c:scaling>
          <c:orientation val="minMax"/>
        </c:scaling>
        <c:delete val="1"/>
        <c:axPos val="b"/>
        <c:numFmt formatCode="General" sourceLinked="1"/>
        <c:majorTickMark val="out"/>
        <c:minorTickMark val="none"/>
        <c:tickLblPos val="none"/>
        <c:crossAx val="162434048"/>
        <c:crosses val="autoZero"/>
        <c:crossBetween val="between"/>
      </c:valAx>
    </c:plotArea>
    <c:legend>
      <c:legendPos val="t"/>
      <c:overlay val="0"/>
      <c:txPr>
        <a:bodyPr/>
        <a:lstStyle/>
        <a:p>
          <a:pPr>
            <a:defRPr sz="1200" b="1"/>
          </a:pPr>
          <a:endParaRPr lang="ru-RU"/>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manualLayout>
          <c:layoutTarget val="inner"/>
          <c:xMode val="edge"/>
          <c:yMode val="edge"/>
          <c:x val="0.24860329958755326"/>
          <c:y val="0.15216797900262471"/>
          <c:w val="0.73234908136483556"/>
          <c:h val="0.84783202099737531"/>
        </c:manualLayout>
      </c:layout>
      <c:bar3DChart>
        <c:barDir val="bar"/>
        <c:grouping val="stacked"/>
        <c:varyColors val="0"/>
        <c:ser>
          <c:idx val="0"/>
          <c:order val="0"/>
          <c:tx>
            <c:strRef>
              <c:f>Лист1!$B$1</c:f>
              <c:strCache>
                <c:ptCount val="1"/>
                <c:pt idx="0">
                  <c:v>2019</c:v>
                </c:pt>
              </c:strCache>
            </c:strRef>
          </c:tx>
          <c:invertIfNegative val="0"/>
          <c:dLbls>
            <c:spPr>
              <a:noFill/>
              <a:ln>
                <a:noFill/>
              </a:ln>
              <a:effectLst/>
            </c:spPr>
            <c:txPr>
              <a:bodyPr/>
              <a:lstStyle/>
              <a:p>
                <a:pPr>
                  <a:defRPr sz="1200" b="1">
                    <a:solidFill>
                      <a:schemeClr val="bg2"/>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0-4 года/years</c:v>
                </c:pt>
                <c:pt idx="1">
                  <c:v>5-9 лет/years</c:v>
                </c:pt>
                <c:pt idx="2">
                  <c:v>10-14 лет/years</c:v>
                </c:pt>
                <c:pt idx="3">
                  <c:v>15-17 лет/years</c:v>
                </c:pt>
              </c:strCache>
            </c:strRef>
          </c:cat>
          <c:val>
            <c:numRef>
              <c:f>Лист1!$B$2:$B$5</c:f>
              <c:numCache>
                <c:formatCode>General</c:formatCode>
                <c:ptCount val="4"/>
                <c:pt idx="0">
                  <c:v>3294.5</c:v>
                </c:pt>
                <c:pt idx="1">
                  <c:v>2935.1</c:v>
                </c:pt>
                <c:pt idx="2">
                  <c:v>3377.7</c:v>
                </c:pt>
                <c:pt idx="3">
                  <c:v>3565.9</c:v>
                </c:pt>
              </c:numCache>
            </c:numRef>
          </c:val>
          <c:extLst>
            <c:ext xmlns:c16="http://schemas.microsoft.com/office/drawing/2014/chart" uri="{C3380CC4-5D6E-409C-BE32-E72D297353CC}">
              <c16:uniqueId val="{00000000-50B2-41C5-A4B1-5D270A8B6503}"/>
            </c:ext>
          </c:extLst>
        </c:ser>
        <c:ser>
          <c:idx val="1"/>
          <c:order val="1"/>
          <c:tx>
            <c:strRef>
              <c:f>Лист1!$C$1</c:f>
              <c:strCache>
                <c:ptCount val="1"/>
                <c:pt idx="0">
                  <c:v>2020</c:v>
                </c:pt>
              </c:strCache>
            </c:strRef>
          </c:tx>
          <c:invertIfNegative val="0"/>
          <c:dLbls>
            <c:spPr>
              <a:noFill/>
              <a:ln>
                <a:noFill/>
              </a:ln>
              <a:effectLst/>
            </c:spPr>
            <c:txPr>
              <a:bodyPr/>
              <a:lstStyle/>
              <a:p>
                <a:pPr>
                  <a:defRPr sz="1200" b="1"/>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0-4 года/years</c:v>
                </c:pt>
                <c:pt idx="1">
                  <c:v>5-9 лет/years</c:v>
                </c:pt>
                <c:pt idx="2">
                  <c:v>10-14 лет/years</c:v>
                </c:pt>
                <c:pt idx="3">
                  <c:v>15-17 лет/years</c:v>
                </c:pt>
              </c:strCache>
            </c:strRef>
          </c:cat>
          <c:val>
            <c:numRef>
              <c:f>Лист1!$C$2:$C$5</c:f>
              <c:numCache>
                <c:formatCode>General</c:formatCode>
                <c:ptCount val="4"/>
                <c:pt idx="0">
                  <c:v>3326.6</c:v>
                </c:pt>
                <c:pt idx="1">
                  <c:v>2829.3</c:v>
                </c:pt>
                <c:pt idx="2">
                  <c:v>3867.7</c:v>
                </c:pt>
                <c:pt idx="3">
                  <c:v>3765.7</c:v>
                </c:pt>
              </c:numCache>
            </c:numRef>
          </c:val>
          <c:extLst>
            <c:ext xmlns:c16="http://schemas.microsoft.com/office/drawing/2014/chart" uri="{C3380CC4-5D6E-409C-BE32-E72D297353CC}">
              <c16:uniqueId val="{00000001-50B2-41C5-A4B1-5D270A8B6503}"/>
            </c:ext>
          </c:extLst>
        </c:ser>
        <c:ser>
          <c:idx val="2"/>
          <c:order val="2"/>
          <c:tx>
            <c:strRef>
              <c:f>Лист1!$D$1</c:f>
              <c:strCache>
                <c:ptCount val="1"/>
                <c:pt idx="0">
                  <c:v>2022</c:v>
                </c:pt>
              </c:strCache>
            </c:strRef>
          </c:tx>
          <c:invertIfNegative val="0"/>
          <c:dLbls>
            <c:spPr>
              <a:noFill/>
              <a:ln>
                <a:noFill/>
              </a:ln>
              <a:effectLst/>
            </c:spPr>
            <c:txPr>
              <a:bodyPr/>
              <a:lstStyle/>
              <a:p>
                <a:pPr>
                  <a:defRPr sz="1200" b="1">
                    <a:solidFill>
                      <a:schemeClr val="bg2"/>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0-4 года/years</c:v>
                </c:pt>
                <c:pt idx="1">
                  <c:v>5-9 лет/years</c:v>
                </c:pt>
                <c:pt idx="2">
                  <c:v>10-14 лет/years</c:v>
                </c:pt>
                <c:pt idx="3">
                  <c:v>15-17 лет/years</c:v>
                </c:pt>
              </c:strCache>
            </c:strRef>
          </c:cat>
          <c:val>
            <c:numRef>
              <c:f>Лист1!$D$2:$D$5</c:f>
              <c:numCache>
                <c:formatCode>General</c:formatCode>
                <c:ptCount val="4"/>
                <c:pt idx="0">
                  <c:v>3676.3</c:v>
                </c:pt>
                <c:pt idx="1">
                  <c:v>3145.3</c:v>
                </c:pt>
                <c:pt idx="2">
                  <c:v>3729.3</c:v>
                </c:pt>
                <c:pt idx="3">
                  <c:v>4181.5</c:v>
                </c:pt>
              </c:numCache>
            </c:numRef>
          </c:val>
          <c:extLst>
            <c:ext xmlns:c16="http://schemas.microsoft.com/office/drawing/2014/chart" uri="{C3380CC4-5D6E-409C-BE32-E72D297353CC}">
              <c16:uniqueId val="{00000002-50B2-41C5-A4B1-5D270A8B6503}"/>
            </c:ext>
          </c:extLst>
        </c:ser>
        <c:dLbls>
          <c:showLegendKey val="0"/>
          <c:showVal val="1"/>
          <c:showCatName val="0"/>
          <c:showSerName val="0"/>
          <c:showPercent val="0"/>
          <c:showBubbleSize val="0"/>
        </c:dLbls>
        <c:gapWidth val="95"/>
        <c:gapDepth val="95"/>
        <c:shape val="cylinder"/>
        <c:axId val="162434560"/>
        <c:axId val="171927808"/>
        <c:axId val="0"/>
      </c:bar3DChart>
      <c:catAx>
        <c:axId val="162434560"/>
        <c:scaling>
          <c:orientation val="minMax"/>
        </c:scaling>
        <c:delete val="0"/>
        <c:axPos val="l"/>
        <c:numFmt formatCode="General" sourceLinked="0"/>
        <c:majorTickMark val="none"/>
        <c:minorTickMark val="none"/>
        <c:tickLblPos val="nextTo"/>
        <c:txPr>
          <a:bodyPr/>
          <a:lstStyle/>
          <a:p>
            <a:pPr>
              <a:defRPr sz="1200" b="1"/>
            </a:pPr>
            <a:endParaRPr lang="ru-RU"/>
          </a:p>
        </c:txPr>
        <c:crossAx val="171927808"/>
        <c:crosses val="autoZero"/>
        <c:auto val="1"/>
        <c:lblAlgn val="ctr"/>
        <c:lblOffset val="100"/>
        <c:noMultiLvlLbl val="0"/>
      </c:catAx>
      <c:valAx>
        <c:axId val="171927808"/>
        <c:scaling>
          <c:orientation val="minMax"/>
        </c:scaling>
        <c:delete val="1"/>
        <c:axPos val="b"/>
        <c:numFmt formatCode="General" sourceLinked="1"/>
        <c:majorTickMark val="out"/>
        <c:minorTickMark val="none"/>
        <c:tickLblPos val="none"/>
        <c:crossAx val="162434560"/>
        <c:crosses val="autoZero"/>
        <c:crossBetween val="between"/>
      </c:valAx>
    </c:plotArea>
    <c:legend>
      <c:legendPos val="t"/>
      <c:overlay val="0"/>
      <c:txPr>
        <a:bodyPr/>
        <a:lstStyle/>
        <a:p>
          <a:pPr>
            <a:defRPr sz="1200" b="1"/>
          </a:pPr>
          <a:endParaRPr lang="ru-RU"/>
        </a:p>
      </c:txPr>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bar"/>
        <c:grouping val="stacked"/>
        <c:varyColors val="0"/>
        <c:ser>
          <c:idx val="0"/>
          <c:order val="0"/>
          <c:tx>
            <c:strRef>
              <c:f>Лист1!$A$2:$B$2</c:f>
              <c:strCache>
                <c:ptCount val="1"/>
                <c:pt idx="0">
                  <c:v>Сред. Ур. Физразв./Aver. level of phys.l devel.(Me)</c:v>
                </c:pt>
              </c:strCache>
            </c:strRef>
          </c:tx>
          <c:invertIfNegative val="0"/>
          <c:dLbls>
            <c:spPr>
              <a:noFill/>
              <a:ln>
                <a:noFill/>
              </a:ln>
              <a:effectLst/>
            </c:spPr>
            <c:txPr>
              <a:bodyPr/>
              <a:lstStyle/>
              <a:p>
                <a:pPr>
                  <a:defRPr sz="1400" b="1">
                    <a:solidFill>
                      <a:schemeClr val="bg2"/>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Лист1!$C$1:$F$1</c:f>
              <c:strCache>
                <c:ptCount val="4"/>
                <c:pt idx="0">
                  <c:v>0-4 года/years</c:v>
                </c:pt>
                <c:pt idx="1">
                  <c:v>5-9 лет/years </c:v>
                </c:pt>
                <c:pt idx="2">
                  <c:v>10-14 лет/years</c:v>
                </c:pt>
                <c:pt idx="3">
                  <c:v>1`5-17лет/years </c:v>
                </c:pt>
              </c:strCache>
            </c:strRef>
          </c:cat>
          <c:val>
            <c:numRef>
              <c:f>Лист1!$C$2:$F$2</c:f>
              <c:numCache>
                <c:formatCode>General</c:formatCode>
                <c:ptCount val="4"/>
                <c:pt idx="0">
                  <c:v>97.2</c:v>
                </c:pt>
                <c:pt idx="1">
                  <c:v>95.2</c:v>
                </c:pt>
                <c:pt idx="2">
                  <c:v>93.3</c:v>
                </c:pt>
                <c:pt idx="3">
                  <c:v>91.3</c:v>
                </c:pt>
              </c:numCache>
            </c:numRef>
          </c:val>
          <c:extLst>
            <c:ext xmlns:c16="http://schemas.microsoft.com/office/drawing/2014/chart" uri="{C3380CC4-5D6E-409C-BE32-E72D297353CC}">
              <c16:uniqueId val="{00000000-51EF-464B-9B68-095E77DE2D31}"/>
            </c:ext>
          </c:extLst>
        </c:ser>
        <c:dLbls>
          <c:showLegendKey val="0"/>
          <c:showVal val="1"/>
          <c:showCatName val="0"/>
          <c:showSerName val="0"/>
          <c:showPercent val="0"/>
          <c:showBubbleSize val="0"/>
        </c:dLbls>
        <c:gapWidth val="95"/>
        <c:gapDepth val="95"/>
        <c:shape val="cylinder"/>
        <c:axId val="162459648"/>
        <c:axId val="171929536"/>
        <c:axId val="0"/>
      </c:bar3DChart>
      <c:catAx>
        <c:axId val="162459648"/>
        <c:scaling>
          <c:orientation val="minMax"/>
        </c:scaling>
        <c:delete val="0"/>
        <c:axPos val="l"/>
        <c:numFmt formatCode="General" sourceLinked="0"/>
        <c:majorTickMark val="none"/>
        <c:minorTickMark val="none"/>
        <c:tickLblPos val="nextTo"/>
        <c:txPr>
          <a:bodyPr/>
          <a:lstStyle/>
          <a:p>
            <a:pPr>
              <a:defRPr sz="1400" b="1"/>
            </a:pPr>
            <a:endParaRPr lang="ru-RU"/>
          </a:p>
        </c:txPr>
        <c:crossAx val="171929536"/>
        <c:crosses val="autoZero"/>
        <c:auto val="1"/>
        <c:lblAlgn val="ctr"/>
        <c:lblOffset val="100"/>
        <c:noMultiLvlLbl val="0"/>
      </c:catAx>
      <c:valAx>
        <c:axId val="171929536"/>
        <c:scaling>
          <c:orientation val="minMax"/>
        </c:scaling>
        <c:delete val="1"/>
        <c:axPos val="b"/>
        <c:numFmt formatCode="General" sourceLinked="1"/>
        <c:majorTickMark val="out"/>
        <c:minorTickMark val="none"/>
        <c:tickLblPos val="none"/>
        <c:crossAx val="162459648"/>
        <c:crosses val="autoZero"/>
        <c:crossBetween val="between"/>
      </c:valAx>
    </c:plotArea>
    <c:legend>
      <c:legendPos val="t"/>
      <c:layout>
        <c:manualLayout>
          <c:xMode val="edge"/>
          <c:yMode val="edge"/>
          <c:x val="2.7009946125155858E-2"/>
          <c:y val="2.0671834625323536E-2"/>
          <c:w val="0.90504420500069072"/>
          <c:h val="0.13725392853025153"/>
        </c:manualLayout>
      </c:layout>
      <c:overlay val="0"/>
      <c:txPr>
        <a:bodyPr/>
        <a:lstStyle/>
        <a:p>
          <a:pPr>
            <a:defRPr sz="1400" b="1"/>
          </a:pPr>
          <a:endParaRPr lang="ru-RU"/>
        </a:p>
      </c:txPr>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manualLayout>
          <c:layoutTarget val="inner"/>
          <c:xMode val="edge"/>
          <c:yMode val="edge"/>
          <c:x val="0.51284086567043263"/>
          <c:y val="8.9767391413461267E-2"/>
          <c:w val="0.46166754071629729"/>
          <c:h val="0.86993470990416777"/>
        </c:manualLayout>
      </c:layout>
      <c:bar3DChart>
        <c:barDir val="bar"/>
        <c:grouping val="stacked"/>
        <c:varyColors val="0"/>
        <c:ser>
          <c:idx val="0"/>
          <c:order val="0"/>
          <c:tx>
            <c:strRef>
              <c:f>Лист1!$B$1</c:f>
              <c:strCache>
                <c:ptCount val="1"/>
                <c:pt idx="0">
                  <c:v>2020</c:v>
                </c:pt>
              </c:strCache>
            </c:strRef>
          </c:tx>
          <c:invertIfNegative val="0"/>
          <c:dLbls>
            <c:spPr>
              <a:noFill/>
              <a:ln>
                <a:noFill/>
              </a:ln>
              <a:effectLst/>
            </c:spPr>
            <c:txPr>
              <a:bodyPr/>
              <a:lstStyle/>
              <a:p>
                <a:pPr>
                  <a:defRPr sz="1200" b="1">
                    <a:solidFill>
                      <a:schemeClr val="bg2"/>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Осмотрено в %(0-17 лет) мальчики/Inspected in %(0-17 years boys </c:v>
                </c:pt>
                <c:pt idx="1">
                  <c:v>Осмотрено в %(0-17 лет)девочки/Inspected in %(0-17 years /girls  </c:v>
                </c:pt>
                <c:pt idx="2">
                  <c:v>Заболеваемость на 1000 мальчики/Incidence per 1000 boys</c:v>
                </c:pt>
                <c:pt idx="3">
                  <c:v>Заболеваемость на 1000 девочки/Incidence per 1000 girls</c:v>
                </c:pt>
              </c:strCache>
            </c:strRef>
          </c:cat>
          <c:val>
            <c:numRef>
              <c:f>Лист1!$B$2:$B$5</c:f>
              <c:numCache>
                <c:formatCode>General</c:formatCode>
                <c:ptCount val="4"/>
                <c:pt idx="0">
                  <c:v>89.9</c:v>
                </c:pt>
                <c:pt idx="1">
                  <c:v>77.5</c:v>
                </c:pt>
                <c:pt idx="2">
                  <c:v>88.7</c:v>
                </c:pt>
                <c:pt idx="3">
                  <c:v>96.2</c:v>
                </c:pt>
              </c:numCache>
            </c:numRef>
          </c:val>
          <c:extLst>
            <c:ext xmlns:c16="http://schemas.microsoft.com/office/drawing/2014/chart" uri="{C3380CC4-5D6E-409C-BE32-E72D297353CC}">
              <c16:uniqueId val="{00000000-FB80-42B8-95FC-EFD88C2F8A2C}"/>
            </c:ext>
          </c:extLst>
        </c:ser>
        <c:ser>
          <c:idx val="1"/>
          <c:order val="1"/>
          <c:tx>
            <c:strRef>
              <c:f>Лист1!$C$1</c:f>
              <c:strCache>
                <c:ptCount val="1"/>
                <c:pt idx="0">
                  <c:v>2021</c:v>
                </c:pt>
              </c:strCache>
            </c:strRef>
          </c:tx>
          <c:invertIfNegative val="0"/>
          <c:dLbls>
            <c:spPr>
              <a:noFill/>
              <a:ln>
                <a:noFill/>
              </a:ln>
              <a:effectLst/>
            </c:spPr>
            <c:txPr>
              <a:bodyPr/>
              <a:lstStyle/>
              <a:p>
                <a:pPr>
                  <a:defRPr sz="1200" b="1">
                    <a:solidFill>
                      <a:sysClr val="windowText" lastClr="000000"/>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Осмотрено в %(0-17 лет) мальчики/Inspected in %(0-17 years boys </c:v>
                </c:pt>
                <c:pt idx="1">
                  <c:v>Осмотрено в %(0-17 лет)девочки/Inspected in %(0-17 years /girls  </c:v>
                </c:pt>
                <c:pt idx="2">
                  <c:v>Заболеваемость на 1000 мальчики/Incidence per 1000 boys</c:v>
                </c:pt>
                <c:pt idx="3">
                  <c:v>Заболеваемость на 1000 девочки/Incidence per 1000 girls</c:v>
                </c:pt>
              </c:strCache>
            </c:strRef>
          </c:cat>
          <c:val>
            <c:numRef>
              <c:f>Лист1!$C$2:$C$5</c:f>
              <c:numCache>
                <c:formatCode>General</c:formatCode>
                <c:ptCount val="4"/>
                <c:pt idx="0">
                  <c:v>98.5</c:v>
                </c:pt>
                <c:pt idx="1">
                  <c:v>94.7</c:v>
                </c:pt>
                <c:pt idx="2">
                  <c:v>81.2</c:v>
                </c:pt>
                <c:pt idx="3">
                  <c:v>84.5</c:v>
                </c:pt>
              </c:numCache>
            </c:numRef>
          </c:val>
          <c:extLst>
            <c:ext xmlns:c16="http://schemas.microsoft.com/office/drawing/2014/chart" uri="{C3380CC4-5D6E-409C-BE32-E72D297353CC}">
              <c16:uniqueId val="{00000001-FB80-42B8-95FC-EFD88C2F8A2C}"/>
            </c:ext>
          </c:extLst>
        </c:ser>
        <c:ser>
          <c:idx val="2"/>
          <c:order val="2"/>
          <c:tx>
            <c:strRef>
              <c:f>Лист1!$D$1</c:f>
              <c:strCache>
                <c:ptCount val="1"/>
                <c:pt idx="0">
                  <c:v>2022</c:v>
                </c:pt>
              </c:strCache>
            </c:strRef>
          </c:tx>
          <c:invertIfNegative val="0"/>
          <c:dLbls>
            <c:spPr>
              <a:noFill/>
              <a:ln>
                <a:noFill/>
              </a:ln>
              <a:effectLst/>
            </c:spPr>
            <c:txPr>
              <a:bodyPr/>
              <a:lstStyle/>
              <a:p>
                <a:pPr>
                  <a:defRPr sz="1200" b="1">
                    <a:solidFill>
                      <a:schemeClr val="bg2"/>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Осмотрено в %(0-17 лет) мальчики/Inspected in %(0-17 years boys </c:v>
                </c:pt>
                <c:pt idx="1">
                  <c:v>Осмотрено в %(0-17 лет)девочки/Inspected in %(0-17 years /girls  </c:v>
                </c:pt>
                <c:pt idx="2">
                  <c:v>Заболеваемость на 1000 мальчики/Incidence per 1000 boys</c:v>
                </c:pt>
                <c:pt idx="3">
                  <c:v>Заболеваемость на 1000 девочки/Incidence per 1000 girls</c:v>
                </c:pt>
              </c:strCache>
            </c:strRef>
          </c:cat>
          <c:val>
            <c:numRef>
              <c:f>Лист1!$D$2:$D$5</c:f>
              <c:numCache>
                <c:formatCode>General</c:formatCode>
                <c:ptCount val="4"/>
                <c:pt idx="0">
                  <c:v>91.8</c:v>
                </c:pt>
                <c:pt idx="1">
                  <c:v>94</c:v>
                </c:pt>
                <c:pt idx="2">
                  <c:v>83.3</c:v>
                </c:pt>
                <c:pt idx="3">
                  <c:v>93.4</c:v>
                </c:pt>
              </c:numCache>
            </c:numRef>
          </c:val>
          <c:extLst>
            <c:ext xmlns:c16="http://schemas.microsoft.com/office/drawing/2014/chart" uri="{C3380CC4-5D6E-409C-BE32-E72D297353CC}">
              <c16:uniqueId val="{00000002-FB80-42B8-95FC-EFD88C2F8A2C}"/>
            </c:ext>
          </c:extLst>
        </c:ser>
        <c:dLbls>
          <c:showLegendKey val="0"/>
          <c:showVal val="1"/>
          <c:showCatName val="0"/>
          <c:showSerName val="0"/>
          <c:showPercent val="0"/>
          <c:showBubbleSize val="0"/>
        </c:dLbls>
        <c:gapWidth val="95"/>
        <c:gapDepth val="95"/>
        <c:shape val="cylinder"/>
        <c:axId val="167998976"/>
        <c:axId val="171932992"/>
        <c:axId val="0"/>
      </c:bar3DChart>
      <c:catAx>
        <c:axId val="167998976"/>
        <c:scaling>
          <c:orientation val="minMax"/>
        </c:scaling>
        <c:delete val="0"/>
        <c:axPos val="l"/>
        <c:numFmt formatCode="General" sourceLinked="0"/>
        <c:majorTickMark val="none"/>
        <c:minorTickMark val="none"/>
        <c:tickLblPos val="nextTo"/>
        <c:txPr>
          <a:bodyPr/>
          <a:lstStyle/>
          <a:p>
            <a:pPr>
              <a:defRPr sz="1200" b="1"/>
            </a:pPr>
            <a:endParaRPr lang="ru-RU"/>
          </a:p>
        </c:txPr>
        <c:crossAx val="171932992"/>
        <c:crosses val="autoZero"/>
        <c:auto val="1"/>
        <c:lblAlgn val="ctr"/>
        <c:lblOffset val="100"/>
        <c:noMultiLvlLbl val="0"/>
      </c:catAx>
      <c:valAx>
        <c:axId val="171932992"/>
        <c:scaling>
          <c:orientation val="minMax"/>
        </c:scaling>
        <c:delete val="1"/>
        <c:axPos val="b"/>
        <c:numFmt formatCode="General" sourceLinked="1"/>
        <c:majorTickMark val="out"/>
        <c:minorTickMark val="none"/>
        <c:tickLblPos val="none"/>
        <c:crossAx val="167998976"/>
        <c:crosses val="autoZero"/>
        <c:crossBetween val="between"/>
      </c:valAx>
    </c:plotArea>
    <c:legend>
      <c:legendPos val="t"/>
      <c:overlay val="0"/>
      <c:txPr>
        <a:bodyPr/>
        <a:lstStyle/>
        <a:p>
          <a:pPr>
            <a:defRPr sz="1200" b="1"/>
          </a:pPr>
          <a:endParaRPr lang="ru-RU"/>
        </a:p>
      </c:txPr>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60A2D8-4FD0-490B-B0B2-8F7C74B88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851</Words>
  <Characters>4851</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Анатолий</dc:creator>
  <cp:lastModifiedBy>Надежда Ткачёва</cp:lastModifiedBy>
  <cp:revision>3</cp:revision>
  <dcterms:created xsi:type="dcterms:W3CDTF">2024-06-04T06:33:00Z</dcterms:created>
  <dcterms:modified xsi:type="dcterms:W3CDTF">2024-07-03T12:57:00Z</dcterms:modified>
</cp:coreProperties>
</file>